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3848" w14:textId="77777777" w:rsidR="00432D09" w:rsidRPr="00122221" w:rsidRDefault="00122221" w:rsidP="00432D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</w:t>
      </w:r>
    </w:p>
    <w:p w14:paraId="59DCF2ED" w14:textId="77777777" w:rsidR="00755879" w:rsidRPr="00122221" w:rsidRDefault="00432D09" w:rsidP="00122221">
      <w:pPr>
        <w:jc w:val="center"/>
        <w:rPr>
          <w:b/>
          <w:sz w:val="28"/>
          <w:szCs w:val="28"/>
          <w:lang w:val="uk-UA"/>
        </w:rPr>
      </w:pPr>
      <w:r w:rsidRPr="00122221">
        <w:rPr>
          <w:b/>
          <w:sz w:val="28"/>
          <w:szCs w:val="28"/>
          <w:lang w:val="uk-UA"/>
        </w:rPr>
        <w:t>про виконання бюджетних програм</w:t>
      </w:r>
      <w:r w:rsidR="00122221">
        <w:rPr>
          <w:b/>
          <w:sz w:val="28"/>
          <w:szCs w:val="28"/>
          <w:lang w:val="uk-UA"/>
        </w:rPr>
        <w:t xml:space="preserve">, у тому числі досягнення цілей державної політики у сфері фінансів, формування </w:t>
      </w:r>
      <w:r w:rsidRPr="00122221">
        <w:rPr>
          <w:b/>
          <w:sz w:val="28"/>
          <w:szCs w:val="28"/>
          <w:lang w:val="uk-UA"/>
        </w:rPr>
        <w:t xml:space="preserve">та </w:t>
      </w:r>
      <w:r w:rsidR="00122221">
        <w:rPr>
          <w:b/>
          <w:sz w:val="28"/>
          <w:szCs w:val="28"/>
          <w:lang w:val="uk-UA"/>
        </w:rPr>
        <w:t>реалізацію яких забезпечує</w:t>
      </w:r>
      <w:r w:rsidR="00B8030B">
        <w:rPr>
          <w:b/>
          <w:sz w:val="28"/>
          <w:szCs w:val="28"/>
          <w:lang w:val="uk-UA"/>
        </w:rPr>
        <w:t xml:space="preserve"> </w:t>
      </w:r>
      <w:r w:rsidR="00122221">
        <w:rPr>
          <w:b/>
          <w:sz w:val="28"/>
          <w:szCs w:val="28"/>
          <w:lang w:val="uk-UA"/>
        </w:rPr>
        <w:t>Ф</w:t>
      </w:r>
      <w:r w:rsidR="00B8030B">
        <w:rPr>
          <w:b/>
          <w:sz w:val="28"/>
          <w:szCs w:val="28"/>
          <w:lang w:val="uk-UA"/>
        </w:rPr>
        <w:t>інансов</w:t>
      </w:r>
      <w:r w:rsidR="00122221">
        <w:rPr>
          <w:b/>
          <w:sz w:val="28"/>
          <w:szCs w:val="28"/>
          <w:lang w:val="uk-UA"/>
        </w:rPr>
        <w:t>е управління</w:t>
      </w:r>
      <w:r w:rsidR="00B8030B">
        <w:rPr>
          <w:b/>
          <w:sz w:val="28"/>
          <w:szCs w:val="28"/>
          <w:lang w:val="uk-UA"/>
        </w:rPr>
        <w:t xml:space="preserve"> Новгород – Сіверської міської ради</w:t>
      </w:r>
    </w:p>
    <w:p w14:paraId="0C6066F6" w14:textId="1C9F7540" w:rsidR="00B8030B" w:rsidRPr="002C0195" w:rsidRDefault="00122221" w:rsidP="00122221">
      <w:pPr>
        <w:ind w:firstLine="709"/>
        <w:jc w:val="center"/>
        <w:rPr>
          <w:b/>
          <w:sz w:val="28"/>
          <w:szCs w:val="28"/>
          <w:lang w:val="uk-UA"/>
        </w:rPr>
      </w:pPr>
      <w:r w:rsidRPr="002C0195">
        <w:rPr>
          <w:b/>
          <w:sz w:val="28"/>
          <w:szCs w:val="28"/>
          <w:lang w:val="uk-UA"/>
        </w:rPr>
        <w:t>Чернігівської області за 202</w:t>
      </w:r>
      <w:r w:rsidR="00B72A90">
        <w:rPr>
          <w:b/>
          <w:sz w:val="28"/>
          <w:szCs w:val="28"/>
          <w:lang w:val="uk-UA"/>
        </w:rPr>
        <w:t>5</w:t>
      </w:r>
      <w:r w:rsidRPr="002C0195">
        <w:rPr>
          <w:b/>
          <w:sz w:val="28"/>
          <w:szCs w:val="28"/>
          <w:lang w:val="uk-UA"/>
        </w:rPr>
        <w:t xml:space="preserve"> рік</w:t>
      </w:r>
    </w:p>
    <w:p w14:paraId="695A9E51" w14:textId="77777777" w:rsidR="00AD50BA" w:rsidRDefault="00777316" w:rsidP="008375F8">
      <w:pPr>
        <w:ind w:firstLine="709"/>
        <w:jc w:val="both"/>
        <w:rPr>
          <w:lang w:val="uk-UA"/>
        </w:rPr>
      </w:pPr>
      <w:r>
        <w:rPr>
          <w:lang w:val="uk-UA"/>
        </w:rPr>
        <w:t xml:space="preserve">Метою бюджетної програми є здійснення функцій керівництва та управління  у сфері фінансів. </w:t>
      </w:r>
      <w:r w:rsidRPr="00777316">
        <w:rPr>
          <w:lang w:val="uk-UA"/>
        </w:rPr>
        <w:t>Завдання</w:t>
      </w:r>
      <w:r>
        <w:rPr>
          <w:lang w:val="uk-UA"/>
        </w:rPr>
        <w:t>м</w:t>
      </w:r>
      <w:r w:rsidRPr="00777316">
        <w:rPr>
          <w:lang w:val="uk-UA"/>
        </w:rPr>
        <w:t xml:space="preserve"> бюджетної програми </w:t>
      </w:r>
      <w:r>
        <w:rPr>
          <w:lang w:val="uk-UA"/>
        </w:rPr>
        <w:t>є з</w:t>
      </w:r>
      <w:r w:rsidRPr="00777316">
        <w:rPr>
          <w:lang w:val="uk-UA"/>
        </w:rPr>
        <w:t>абезпечення виконання наданих законодавством повноважень у сфері фінансів</w:t>
      </w:r>
      <w:r>
        <w:rPr>
          <w:lang w:val="uk-UA"/>
        </w:rPr>
        <w:t xml:space="preserve"> та з</w:t>
      </w:r>
      <w:r w:rsidRPr="00777316">
        <w:rPr>
          <w:lang w:val="uk-UA"/>
        </w:rPr>
        <w:t>дійснення управлінням виконання завдань з інформатизації</w:t>
      </w:r>
      <w:r w:rsidR="00AD50BA">
        <w:rPr>
          <w:lang w:val="uk-UA"/>
        </w:rPr>
        <w:t>.</w:t>
      </w:r>
    </w:p>
    <w:p w14:paraId="5478770C" w14:textId="6D18D9EB" w:rsidR="00AC611F" w:rsidRDefault="00AC611F" w:rsidP="008375F8">
      <w:pPr>
        <w:ind w:firstLine="709"/>
        <w:jc w:val="both"/>
        <w:rPr>
          <w:lang w:val="uk-UA"/>
        </w:rPr>
      </w:pPr>
      <w:r>
        <w:rPr>
          <w:lang w:val="uk-UA"/>
        </w:rPr>
        <w:t>В 202</w:t>
      </w:r>
      <w:r w:rsidR="00B72A90">
        <w:rPr>
          <w:lang w:val="uk-UA"/>
        </w:rPr>
        <w:t>5</w:t>
      </w:r>
      <w:r>
        <w:rPr>
          <w:lang w:val="uk-UA"/>
        </w:rPr>
        <w:t xml:space="preserve"> році працівники управління розробляли проєкти рішень сесії та виконавчого комітету міської ради, виконували рішення, розпорядження та доручення обласної ради, обласної та районної </w:t>
      </w:r>
      <w:r w:rsidR="00B72A90">
        <w:rPr>
          <w:lang w:val="uk-UA"/>
        </w:rPr>
        <w:t>військов</w:t>
      </w:r>
      <w:r>
        <w:rPr>
          <w:lang w:val="uk-UA"/>
        </w:rPr>
        <w:t xml:space="preserve">их адміністрацій, міського голови в межах компетенції управління. Виконувались контрольні завдання </w:t>
      </w:r>
      <w:r w:rsidR="00867765">
        <w:rPr>
          <w:lang w:val="uk-UA"/>
        </w:rPr>
        <w:t>Д</w:t>
      </w:r>
      <w:r>
        <w:rPr>
          <w:lang w:val="uk-UA"/>
        </w:rPr>
        <w:t>епартаменту фінансів Чернігівської ОДА</w:t>
      </w:r>
      <w:r w:rsidR="002C0195">
        <w:rPr>
          <w:lang w:val="uk-UA"/>
        </w:rPr>
        <w:t>.</w:t>
      </w:r>
    </w:p>
    <w:p w14:paraId="2C7BD73C" w14:textId="6A36AF88" w:rsidR="008B5718" w:rsidRPr="0005090C" w:rsidRDefault="00200F77" w:rsidP="008375F8">
      <w:pPr>
        <w:ind w:firstLine="709"/>
        <w:jc w:val="both"/>
        <w:rPr>
          <w:lang w:val="uk-UA"/>
        </w:rPr>
      </w:pPr>
      <w:r>
        <w:rPr>
          <w:lang w:val="uk-UA"/>
        </w:rPr>
        <w:t>Протягом</w:t>
      </w:r>
      <w:r w:rsidR="008B5718">
        <w:rPr>
          <w:lang w:val="uk-UA"/>
        </w:rPr>
        <w:t xml:space="preserve"> року фінансовим управлінням отримано </w:t>
      </w:r>
      <w:r w:rsidR="006B50E5">
        <w:rPr>
          <w:lang w:val="uk-UA"/>
        </w:rPr>
        <w:t>3</w:t>
      </w:r>
      <w:r w:rsidR="00B72A90">
        <w:rPr>
          <w:lang w:val="uk-UA"/>
        </w:rPr>
        <w:t>0</w:t>
      </w:r>
      <w:r w:rsidR="006B50E5">
        <w:rPr>
          <w:lang w:val="uk-UA"/>
        </w:rPr>
        <w:t xml:space="preserve">5 листів,  проведено </w:t>
      </w:r>
      <w:r w:rsidR="00B72A90">
        <w:rPr>
          <w:lang w:val="uk-UA"/>
        </w:rPr>
        <w:t>700</w:t>
      </w:r>
      <w:r w:rsidR="006B50E5">
        <w:rPr>
          <w:lang w:val="uk-UA"/>
        </w:rPr>
        <w:t xml:space="preserve"> розпоряджень на фінансування</w:t>
      </w:r>
      <w:r w:rsidR="00B72A90">
        <w:rPr>
          <w:lang w:val="uk-UA"/>
        </w:rPr>
        <w:t xml:space="preserve"> головних розпорядників бюджетних коштів</w:t>
      </w:r>
      <w:r w:rsidR="006B50E5">
        <w:rPr>
          <w:lang w:val="uk-UA"/>
        </w:rPr>
        <w:t>, підготовлено 2</w:t>
      </w:r>
      <w:r w:rsidR="00B72A90">
        <w:rPr>
          <w:lang w:val="uk-UA"/>
        </w:rPr>
        <w:t>55</w:t>
      </w:r>
      <w:r w:rsidR="006B50E5">
        <w:rPr>
          <w:lang w:val="uk-UA"/>
        </w:rPr>
        <w:t xml:space="preserve"> довід</w:t>
      </w:r>
      <w:r w:rsidR="00B72A90">
        <w:rPr>
          <w:lang w:val="uk-UA"/>
        </w:rPr>
        <w:t>о</w:t>
      </w:r>
      <w:r w:rsidR="006B50E5">
        <w:rPr>
          <w:lang w:val="uk-UA"/>
        </w:rPr>
        <w:t xml:space="preserve">к про внесення змін до бюджету, розроблено </w:t>
      </w:r>
      <w:r w:rsidR="00B72A90">
        <w:rPr>
          <w:lang w:val="uk-UA"/>
        </w:rPr>
        <w:t>75</w:t>
      </w:r>
      <w:r w:rsidR="006B50E5">
        <w:rPr>
          <w:lang w:val="uk-UA"/>
        </w:rPr>
        <w:t xml:space="preserve"> про</w:t>
      </w:r>
      <w:r w:rsidR="008C0BD8">
        <w:rPr>
          <w:lang w:val="uk-UA"/>
        </w:rPr>
        <w:t>є</w:t>
      </w:r>
      <w:r w:rsidR="006B50E5">
        <w:rPr>
          <w:lang w:val="uk-UA"/>
        </w:rPr>
        <w:t>кт</w:t>
      </w:r>
      <w:r w:rsidR="00B72A90">
        <w:rPr>
          <w:lang w:val="uk-UA"/>
        </w:rPr>
        <w:t>ів</w:t>
      </w:r>
      <w:r w:rsidR="006B50E5">
        <w:rPr>
          <w:lang w:val="uk-UA"/>
        </w:rPr>
        <w:t xml:space="preserve"> рішень сесії міської ради, виконавчого комітету та розпоряджень міського голови, </w:t>
      </w:r>
      <w:r w:rsidR="006B50E5" w:rsidRPr="008C0BD8">
        <w:rPr>
          <w:lang w:val="uk-UA"/>
        </w:rPr>
        <w:t xml:space="preserve">прийнято </w:t>
      </w:r>
      <w:r w:rsidR="008C0BD8" w:rsidRPr="008742D9">
        <w:rPr>
          <w:lang w:val="uk-UA"/>
        </w:rPr>
        <w:t>66</w:t>
      </w:r>
      <w:r w:rsidR="008C0BD8" w:rsidRPr="008C0BD8">
        <w:rPr>
          <w:lang w:val="uk-UA"/>
        </w:rPr>
        <w:t xml:space="preserve"> </w:t>
      </w:r>
      <w:r w:rsidR="006B50E5" w:rsidRPr="008C0BD8">
        <w:rPr>
          <w:lang w:val="uk-UA"/>
        </w:rPr>
        <w:t>наказів</w:t>
      </w:r>
      <w:r w:rsidR="006B50E5">
        <w:rPr>
          <w:lang w:val="uk-UA"/>
        </w:rPr>
        <w:t xml:space="preserve"> з основної діяльності, особового складу </w:t>
      </w:r>
      <w:r w:rsidR="006B50E5" w:rsidRPr="008C0BD8">
        <w:rPr>
          <w:lang w:val="uk-UA"/>
        </w:rPr>
        <w:t>та</w:t>
      </w:r>
      <w:r w:rsidR="006B50E5">
        <w:rPr>
          <w:lang w:val="uk-UA"/>
        </w:rPr>
        <w:t xml:space="preserve"> </w:t>
      </w:r>
      <w:r w:rsidR="008C0BD8">
        <w:rPr>
          <w:lang w:val="uk-UA"/>
        </w:rPr>
        <w:t>надання відпусток</w:t>
      </w:r>
      <w:r w:rsidR="004D187B">
        <w:rPr>
          <w:lang w:val="uk-UA"/>
        </w:rPr>
        <w:t>.</w:t>
      </w:r>
    </w:p>
    <w:p w14:paraId="25FCE467" w14:textId="19E128C2" w:rsidR="00AE45EF" w:rsidRDefault="006B50E5" w:rsidP="008375F8">
      <w:pPr>
        <w:ind w:firstLine="709"/>
        <w:jc w:val="both"/>
        <w:rPr>
          <w:lang w:val="uk-UA"/>
        </w:rPr>
      </w:pPr>
      <w:r w:rsidRPr="006B50E5">
        <w:rPr>
          <w:lang w:val="uk-UA"/>
        </w:rPr>
        <w:t xml:space="preserve">Забезпечено дотримання  бюджетного   законодавства   при взятті  бюджетних  </w:t>
      </w:r>
      <w:r>
        <w:rPr>
          <w:lang w:val="uk-UA"/>
        </w:rPr>
        <w:t xml:space="preserve">та фінансових </w:t>
      </w:r>
      <w:r w:rsidRPr="006B50E5">
        <w:rPr>
          <w:lang w:val="uk-UA"/>
        </w:rPr>
        <w:t xml:space="preserve">зобов'язань,  своєчасного подання на </w:t>
      </w:r>
      <w:r w:rsidR="005F19D5">
        <w:rPr>
          <w:lang w:val="uk-UA"/>
        </w:rPr>
        <w:t>реєстрацію таких  зобов'язань</w:t>
      </w:r>
      <w:r w:rsidRPr="006B50E5">
        <w:rPr>
          <w:lang w:val="uk-UA"/>
        </w:rPr>
        <w:t>. Станом на 01 січня 202</w:t>
      </w:r>
      <w:r w:rsidR="00B72A90">
        <w:rPr>
          <w:lang w:val="uk-UA"/>
        </w:rPr>
        <w:t>6</w:t>
      </w:r>
      <w:r w:rsidR="005F19D5">
        <w:rPr>
          <w:lang w:val="uk-UA"/>
        </w:rPr>
        <w:t xml:space="preserve"> </w:t>
      </w:r>
      <w:r w:rsidR="005F19D5" w:rsidRPr="005F19D5">
        <w:rPr>
          <w:lang w:val="uk-UA"/>
        </w:rPr>
        <w:t>року кредиторська та дебіторська заборгованості відсутні.</w:t>
      </w:r>
    </w:p>
    <w:p w14:paraId="71D30175" w14:textId="7A35932D" w:rsidR="005F19D5" w:rsidRDefault="005F19D5" w:rsidP="008375F8">
      <w:pPr>
        <w:ind w:firstLine="709"/>
        <w:jc w:val="both"/>
        <w:rPr>
          <w:lang w:val="uk-UA"/>
        </w:rPr>
      </w:pPr>
      <w:r w:rsidRPr="005F19D5">
        <w:rPr>
          <w:lang w:val="uk-UA"/>
        </w:rPr>
        <w:t xml:space="preserve">Виконані результативні показники бюджетної програми в частині затрат  менше запланованих, а в частині виконання продукту - більше. Це сталося завдяки економному  використанню  бюджетних ресурсів (зменшення видатків на товари, обладнання, енергоносії) та інтенсивності роботи працівників управління. Опрацьовані всі листи, звернення, заяви, що надійшли до фінансового управління. Прийнято </w:t>
      </w:r>
      <w:r w:rsidR="00B72A90">
        <w:rPr>
          <w:lang w:val="uk-UA"/>
        </w:rPr>
        <w:t>100</w:t>
      </w:r>
      <w:r w:rsidRPr="005F19D5">
        <w:rPr>
          <w:lang w:val="uk-UA"/>
        </w:rPr>
        <w:t>% нормативно-правових актів з загальної кількості розроблених (рішення сесії  міської ради, рішення  виконавчого комітету, розпорядження міського голови, договори про надання субвенцій),  які  були  розроблені  фінансовим  управлінням (7</w:t>
      </w:r>
      <w:r w:rsidR="00B72A90">
        <w:rPr>
          <w:lang w:val="uk-UA"/>
        </w:rPr>
        <w:t>5</w:t>
      </w:r>
      <w:r w:rsidRPr="005F19D5">
        <w:rPr>
          <w:lang w:val="uk-UA"/>
        </w:rPr>
        <w:t xml:space="preserve"> од.).  Заплановані завдання виконані в повному обсязі.</w:t>
      </w:r>
    </w:p>
    <w:p w14:paraId="46EBCEA1" w14:textId="3602636C" w:rsidR="00200F77" w:rsidRDefault="00200F77" w:rsidP="008375F8">
      <w:pPr>
        <w:ind w:firstLine="709"/>
        <w:jc w:val="both"/>
        <w:rPr>
          <w:lang w:val="uk-UA"/>
        </w:rPr>
      </w:pPr>
      <w:r>
        <w:rPr>
          <w:lang w:val="uk-UA"/>
        </w:rPr>
        <w:t>По загальному фонду на 202</w:t>
      </w:r>
      <w:r w:rsidR="00B72A90">
        <w:rPr>
          <w:lang w:val="uk-UA"/>
        </w:rPr>
        <w:t>5</w:t>
      </w:r>
      <w:r>
        <w:rPr>
          <w:lang w:val="uk-UA"/>
        </w:rPr>
        <w:t xml:space="preserve"> рік затверджено асигнувань </w:t>
      </w:r>
      <w:r w:rsidR="00867765">
        <w:rPr>
          <w:lang w:val="uk-UA"/>
        </w:rPr>
        <w:t>у</w:t>
      </w:r>
      <w:r>
        <w:rPr>
          <w:lang w:val="uk-UA"/>
        </w:rPr>
        <w:t xml:space="preserve"> сумі </w:t>
      </w:r>
      <w:r w:rsidR="00195234">
        <w:rPr>
          <w:b/>
          <w:lang w:val="uk-UA"/>
        </w:rPr>
        <w:t>8538120</w:t>
      </w:r>
      <w:r>
        <w:rPr>
          <w:b/>
          <w:lang w:val="uk-UA"/>
        </w:rPr>
        <w:t xml:space="preserve">,00  </w:t>
      </w:r>
      <w:r>
        <w:rPr>
          <w:lang w:val="uk-UA"/>
        </w:rPr>
        <w:t xml:space="preserve">грн, профінансовано </w:t>
      </w:r>
      <w:r w:rsidR="00195234">
        <w:rPr>
          <w:b/>
          <w:lang w:val="uk-UA"/>
        </w:rPr>
        <w:t>8316798,19</w:t>
      </w:r>
      <w:r>
        <w:rPr>
          <w:lang w:val="uk-UA"/>
        </w:rPr>
        <w:t xml:space="preserve">  грн. </w:t>
      </w:r>
      <w:r w:rsidR="004D187B">
        <w:rPr>
          <w:lang w:val="uk-UA"/>
        </w:rPr>
        <w:t>К</w:t>
      </w:r>
      <w:r>
        <w:rPr>
          <w:lang w:val="uk-UA"/>
        </w:rPr>
        <w:t xml:space="preserve">асові видатки склали </w:t>
      </w:r>
      <w:r w:rsidR="00195234">
        <w:rPr>
          <w:b/>
          <w:lang w:val="uk-UA"/>
        </w:rPr>
        <w:t>8316798,19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грн, з них </w:t>
      </w:r>
    </w:p>
    <w:p w14:paraId="5F62CA55" w14:textId="01A20D63" w:rsidR="00200F77" w:rsidRDefault="00195234" w:rsidP="008375F8">
      <w:pPr>
        <w:jc w:val="both"/>
        <w:rPr>
          <w:lang w:val="uk-UA"/>
        </w:rPr>
      </w:pPr>
      <w:r>
        <w:rPr>
          <w:b/>
          <w:lang w:val="uk-UA"/>
        </w:rPr>
        <w:t>3621347,83</w:t>
      </w:r>
      <w:r w:rsidR="00200F77">
        <w:rPr>
          <w:b/>
          <w:lang w:val="uk-UA"/>
        </w:rPr>
        <w:t xml:space="preserve"> </w:t>
      </w:r>
      <w:r w:rsidR="00200F77">
        <w:rPr>
          <w:lang w:val="uk-UA"/>
        </w:rPr>
        <w:t>грн – видатки на утримання фінансового управління, які використані за цільовим призначенням у межах кошторисних призначень.</w:t>
      </w:r>
    </w:p>
    <w:p w14:paraId="6BF90288" w14:textId="77777777" w:rsidR="00200F77" w:rsidRDefault="00200F77" w:rsidP="008375F8">
      <w:pPr>
        <w:jc w:val="both"/>
        <w:rPr>
          <w:lang w:val="uk-UA"/>
        </w:rPr>
      </w:pPr>
    </w:p>
    <w:p w14:paraId="4AE30B93" w14:textId="4B5E3733" w:rsidR="00AE45EF" w:rsidRDefault="005F19D5" w:rsidP="008375F8">
      <w:pPr>
        <w:ind w:firstLine="709"/>
        <w:jc w:val="both"/>
        <w:rPr>
          <w:lang w:val="uk-UA"/>
        </w:rPr>
      </w:pPr>
      <w:r w:rsidRPr="005F19D5">
        <w:rPr>
          <w:color w:val="000000"/>
          <w:lang w:val="uk-UA"/>
        </w:rPr>
        <w:t xml:space="preserve">По </w:t>
      </w:r>
      <w:r w:rsidRPr="002E5CA6">
        <w:rPr>
          <w:b/>
          <w:color w:val="000000"/>
          <w:lang w:val="uk-UA"/>
        </w:rPr>
        <w:t>КПКВК 3719770</w:t>
      </w:r>
      <w:r>
        <w:rPr>
          <w:b/>
          <w:color w:val="000000"/>
          <w:lang w:val="uk-UA"/>
        </w:rPr>
        <w:t xml:space="preserve"> </w:t>
      </w:r>
      <w:r w:rsidRPr="005F19D5">
        <w:rPr>
          <w:color w:val="000000"/>
          <w:lang w:val="uk-UA"/>
        </w:rPr>
        <w:t>«І</w:t>
      </w:r>
      <w:r w:rsidR="002B1E7F">
        <w:rPr>
          <w:lang w:val="uk-UA"/>
        </w:rPr>
        <w:t>нші субвенції з місцевого бюджету</w:t>
      </w:r>
      <w:r w:rsidR="00A67022">
        <w:rPr>
          <w:lang w:val="uk-UA"/>
        </w:rPr>
        <w:t xml:space="preserve">» затверджено асигнувань </w:t>
      </w:r>
      <w:r w:rsidR="00867765">
        <w:rPr>
          <w:lang w:val="uk-UA"/>
        </w:rPr>
        <w:t>у сумі</w:t>
      </w:r>
      <w:r w:rsidR="00A67022">
        <w:rPr>
          <w:lang w:val="uk-UA"/>
        </w:rPr>
        <w:t xml:space="preserve"> </w:t>
      </w:r>
      <w:r w:rsidR="00195234">
        <w:rPr>
          <w:lang w:val="uk-UA"/>
        </w:rPr>
        <w:t>440000,00</w:t>
      </w:r>
      <w:r w:rsidR="00A67022">
        <w:rPr>
          <w:lang w:val="uk-UA"/>
        </w:rPr>
        <w:t xml:space="preserve"> грн</w:t>
      </w:r>
      <w:r w:rsidR="00F836AD">
        <w:rPr>
          <w:lang w:val="uk-UA"/>
        </w:rPr>
        <w:t>,</w:t>
      </w:r>
      <w:r w:rsidR="00A67022">
        <w:rPr>
          <w:lang w:val="uk-UA"/>
        </w:rPr>
        <w:t xml:space="preserve"> профінансовано </w:t>
      </w:r>
      <w:r w:rsidR="00195234">
        <w:rPr>
          <w:lang w:val="uk-UA"/>
        </w:rPr>
        <w:t>4332</w:t>
      </w:r>
      <w:r w:rsidR="00A67022">
        <w:rPr>
          <w:lang w:val="uk-UA"/>
        </w:rPr>
        <w:t>00,00 грн. Ці субвенції виділялись районному та обласному бюджет</w:t>
      </w:r>
      <w:r w:rsidR="004D187B">
        <w:rPr>
          <w:lang w:val="uk-UA"/>
        </w:rPr>
        <w:t>ам</w:t>
      </w:r>
      <w:r w:rsidR="00A67022">
        <w:rPr>
          <w:lang w:val="uk-UA"/>
        </w:rPr>
        <w:t xml:space="preserve"> на виконання заходів таких програм:</w:t>
      </w:r>
    </w:p>
    <w:p w14:paraId="27A02477" w14:textId="40732138" w:rsidR="00195234" w:rsidRPr="008B63C6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П</w:t>
      </w:r>
      <w:proofErr w:type="spellStart"/>
      <w:r w:rsidRPr="002F6397">
        <w:t>рограми</w:t>
      </w:r>
      <w:proofErr w:type="spellEnd"/>
      <w:r w:rsidRPr="002F6397">
        <w:t xml:space="preserve"> </w:t>
      </w:r>
      <w:proofErr w:type="spellStart"/>
      <w:r w:rsidRPr="002F6397">
        <w:t>забезпечення</w:t>
      </w:r>
      <w:proofErr w:type="spellEnd"/>
      <w:r w:rsidRPr="002F6397">
        <w:t xml:space="preserve"> автобусного </w:t>
      </w:r>
      <w:proofErr w:type="spellStart"/>
      <w:r w:rsidRPr="002F6397">
        <w:t>сполучення</w:t>
      </w:r>
      <w:proofErr w:type="spellEnd"/>
      <w:r w:rsidRPr="002F6397">
        <w:t xml:space="preserve"> </w:t>
      </w:r>
      <w:proofErr w:type="spellStart"/>
      <w:r w:rsidRPr="002F6397">
        <w:t>між</w:t>
      </w:r>
      <w:proofErr w:type="spellEnd"/>
      <w:r w:rsidRPr="002F6397">
        <w:t xml:space="preserve"> </w:t>
      </w:r>
      <w:proofErr w:type="spellStart"/>
      <w:r w:rsidRPr="002F6397">
        <w:t>містом</w:t>
      </w:r>
      <w:proofErr w:type="spellEnd"/>
      <w:r w:rsidRPr="002F6397">
        <w:t xml:space="preserve"> Новгород-</w:t>
      </w:r>
      <w:proofErr w:type="spellStart"/>
      <w:r w:rsidRPr="002F6397">
        <w:t>Сіверським</w:t>
      </w:r>
      <w:proofErr w:type="spellEnd"/>
      <w:r w:rsidRPr="002F6397">
        <w:t xml:space="preserve"> та </w:t>
      </w:r>
      <w:proofErr w:type="spellStart"/>
      <w:r w:rsidRPr="002F6397">
        <w:t>населеними</w:t>
      </w:r>
      <w:proofErr w:type="spellEnd"/>
      <w:r w:rsidRPr="002F6397">
        <w:t xml:space="preserve"> пунктами Новгород-</w:t>
      </w:r>
      <w:proofErr w:type="spellStart"/>
      <w:r w:rsidRPr="002F6397">
        <w:t>Сіверського</w:t>
      </w:r>
      <w:proofErr w:type="spellEnd"/>
      <w:r w:rsidRPr="002F6397">
        <w:t xml:space="preserve"> району на 2025 </w:t>
      </w:r>
      <w:proofErr w:type="spellStart"/>
      <w:r w:rsidRPr="002F6397">
        <w:t>рік</w:t>
      </w:r>
      <w:proofErr w:type="spellEnd"/>
      <w:r w:rsidRPr="002F6397">
        <w:t xml:space="preserve"> </w:t>
      </w:r>
      <w:r w:rsidR="00867765">
        <w:t xml:space="preserve">у </w:t>
      </w:r>
      <w:proofErr w:type="spellStart"/>
      <w:r w:rsidR="00867765">
        <w:t>сумі</w:t>
      </w:r>
      <w:proofErr w:type="spellEnd"/>
      <w:r w:rsidRPr="002F6397">
        <w:t xml:space="preserve"> 1</w:t>
      </w:r>
      <w:r>
        <w:rPr>
          <w:lang w:val="uk-UA"/>
        </w:rPr>
        <w:t>632</w:t>
      </w:r>
      <w:r w:rsidRPr="002F6397">
        <w:t>00,00 грн</w:t>
      </w:r>
      <w:r w:rsidR="008B63C6">
        <w:rPr>
          <w:lang w:val="uk-UA"/>
        </w:rPr>
        <w:t>;</w:t>
      </w:r>
    </w:p>
    <w:p w14:paraId="45A3BC8D" w14:textId="64473108" w:rsidR="00195234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П</w:t>
      </w:r>
      <w:proofErr w:type="spellStart"/>
      <w:r w:rsidRPr="002F6397">
        <w:t>рограми</w:t>
      </w:r>
      <w:proofErr w:type="spellEnd"/>
      <w:r w:rsidRPr="002F6397">
        <w:t xml:space="preserve"> </w:t>
      </w:r>
      <w:proofErr w:type="spellStart"/>
      <w:r w:rsidRPr="002F6397">
        <w:t>забезпечення</w:t>
      </w:r>
      <w:proofErr w:type="spellEnd"/>
      <w:r w:rsidRPr="002F6397">
        <w:t xml:space="preserve"> </w:t>
      </w:r>
      <w:proofErr w:type="spellStart"/>
      <w:r w:rsidRPr="002F6397">
        <w:t>проведення</w:t>
      </w:r>
      <w:proofErr w:type="spellEnd"/>
      <w:r w:rsidRPr="002F6397">
        <w:t xml:space="preserve"> </w:t>
      </w:r>
      <w:proofErr w:type="spellStart"/>
      <w:r w:rsidRPr="002F6397">
        <w:t>заходів</w:t>
      </w:r>
      <w:proofErr w:type="spellEnd"/>
      <w:r w:rsidRPr="002F6397">
        <w:t xml:space="preserve"> і </w:t>
      </w:r>
      <w:proofErr w:type="spellStart"/>
      <w:r w:rsidRPr="002F6397">
        <w:t>робіт</w:t>
      </w:r>
      <w:proofErr w:type="spellEnd"/>
      <w:r w:rsidRPr="002F6397">
        <w:t xml:space="preserve"> з </w:t>
      </w:r>
      <w:proofErr w:type="spellStart"/>
      <w:r w:rsidRPr="002F6397">
        <w:t>мобілізаційної</w:t>
      </w:r>
      <w:proofErr w:type="spellEnd"/>
      <w:r w:rsidRPr="002F6397">
        <w:t xml:space="preserve"> </w:t>
      </w:r>
      <w:proofErr w:type="spellStart"/>
      <w:r w:rsidRPr="002F6397">
        <w:t>підготовки</w:t>
      </w:r>
      <w:proofErr w:type="spellEnd"/>
      <w:r w:rsidRPr="002F6397">
        <w:t xml:space="preserve"> </w:t>
      </w:r>
      <w:proofErr w:type="spellStart"/>
      <w:r w:rsidRPr="002F6397">
        <w:t>місцевого</w:t>
      </w:r>
      <w:proofErr w:type="spellEnd"/>
      <w:r w:rsidRPr="002F6397">
        <w:t xml:space="preserve"> </w:t>
      </w:r>
      <w:proofErr w:type="spellStart"/>
      <w:r w:rsidRPr="002F6397">
        <w:t>значення</w:t>
      </w:r>
      <w:proofErr w:type="spellEnd"/>
      <w:r w:rsidRPr="002F6397">
        <w:t xml:space="preserve">, </w:t>
      </w:r>
      <w:proofErr w:type="spellStart"/>
      <w:r w:rsidRPr="002F6397">
        <w:t>мобілізації</w:t>
      </w:r>
      <w:proofErr w:type="spellEnd"/>
      <w:r w:rsidRPr="002F6397">
        <w:t xml:space="preserve"> та </w:t>
      </w:r>
      <w:proofErr w:type="spellStart"/>
      <w:r w:rsidRPr="002F6397">
        <w:t>територіальної</w:t>
      </w:r>
      <w:proofErr w:type="spellEnd"/>
      <w:r w:rsidRPr="002F6397">
        <w:t xml:space="preserve"> оборони Новгород-</w:t>
      </w:r>
      <w:proofErr w:type="spellStart"/>
      <w:r w:rsidRPr="002F6397">
        <w:t>Сіверської</w:t>
      </w:r>
      <w:proofErr w:type="spellEnd"/>
      <w:r w:rsidRPr="002F6397">
        <w:t xml:space="preserve"> </w:t>
      </w:r>
      <w:proofErr w:type="spellStart"/>
      <w:r w:rsidRPr="002F6397">
        <w:t>міської</w:t>
      </w:r>
      <w:proofErr w:type="spellEnd"/>
      <w:r w:rsidRPr="002F6397">
        <w:t xml:space="preserve"> </w:t>
      </w:r>
      <w:proofErr w:type="spellStart"/>
      <w:r w:rsidRPr="002F6397">
        <w:t>територіальної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 xml:space="preserve"> на 2022-2025 роки у </w:t>
      </w:r>
      <w:proofErr w:type="spellStart"/>
      <w:r w:rsidRPr="002F6397">
        <w:t>сумі</w:t>
      </w:r>
      <w:proofErr w:type="spellEnd"/>
      <w:r w:rsidRPr="002F6397">
        <w:t xml:space="preserve"> 100000,00 грн</w:t>
      </w:r>
      <w:r>
        <w:rPr>
          <w:lang w:val="uk-UA"/>
        </w:rPr>
        <w:t>;</w:t>
      </w:r>
    </w:p>
    <w:p w14:paraId="35854677" w14:textId="62E6FA79" w:rsidR="00195234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 w:rsidRPr="002F6397">
        <w:t xml:space="preserve"> </w:t>
      </w:r>
      <w:r w:rsidRPr="00400B33">
        <w:rPr>
          <w:lang w:val="uk-UA"/>
        </w:rPr>
        <w:t>Програм</w:t>
      </w:r>
      <w:r>
        <w:rPr>
          <w:lang w:val="uk-UA"/>
        </w:rPr>
        <w:t>и</w:t>
      </w:r>
      <w:r w:rsidRPr="00400B33">
        <w:rPr>
          <w:lang w:val="uk-UA"/>
        </w:rPr>
        <w:t xml:space="preserve"> фінансової підтримки Новгород-Сіверської районної ради Чернігівської області на 2025 рік</w:t>
      </w:r>
      <w:r>
        <w:rPr>
          <w:lang w:val="uk-UA"/>
        </w:rPr>
        <w:t xml:space="preserve"> у сумі 70000,00 грн</w:t>
      </w:r>
      <w:r w:rsidR="008B63C6">
        <w:rPr>
          <w:lang w:val="uk-UA"/>
        </w:rPr>
        <w:t>;</w:t>
      </w:r>
      <w:r w:rsidRPr="00E13DCF">
        <w:rPr>
          <w:lang w:val="uk-UA"/>
        </w:rPr>
        <w:t xml:space="preserve">                                           </w:t>
      </w:r>
    </w:p>
    <w:p w14:paraId="54ED0385" w14:textId="5223EBFE" w:rsidR="00195234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Обласному бюджету перераховано 100000,00 грн по  п</w:t>
      </w:r>
      <w:r w:rsidRPr="00E13DCF">
        <w:rPr>
          <w:lang w:val="uk-UA"/>
        </w:rPr>
        <w:t>рограм</w:t>
      </w:r>
      <w:r>
        <w:rPr>
          <w:lang w:val="uk-UA"/>
        </w:rPr>
        <w:t>і</w:t>
      </w:r>
      <w:r w:rsidRPr="00E13DCF">
        <w:rPr>
          <w:lang w:val="uk-UA"/>
        </w:rPr>
        <w:t xml:space="preserve"> фінансової підтримки базової підготовки мешканців Новгород-Сіверської міської територіальної громади до національного спротиву на 2025-2026 роки</w:t>
      </w:r>
      <w:r>
        <w:rPr>
          <w:lang w:val="uk-UA"/>
        </w:rPr>
        <w:t>.</w:t>
      </w:r>
      <w:r w:rsidRPr="00E13DCF">
        <w:rPr>
          <w:lang w:val="uk-UA"/>
        </w:rPr>
        <w:t xml:space="preserve">          </w:t>
      </w:r>
      <w:r>
        <w:rPr>
          <w:lang w:val="uk-UA"/>
        </w:rPr>
        <w:t xml:space="preserve"> </w:t>
      </w:r>
    </w:p>
    <w:p w14:paraId="5E827630" w14:textId="4FB0638B" w:rsidR="00A67022" w:rsidRDefault="00A67022" w:rsidP="008375F8">
      <w:pPr>
        <w:ind w:firstLine="709"/>
        <w:jc w:val="both"/>
        <w:rPr>
          <w:lang w:val="uk-UA"/>
        </w:rPr>
      </w:pPr>
      <w:r w:rsidRPr="00A67022">
        <w:rPr>
          <w:lang w:val="uk-UA"/>
        </w:rPr>
        <w:t xml:space="preserve">По </w:t>
      </w:r>
      <w:r w:rsidRPr="00875577">
        <w:rPr>
          <w:b/>
          <w:lang w:val="uk-UA"/>
        </w:rPr>
        <w:t>КПКВК 3719</w:t>
      </w:r>
      <w:r w:rsidR="00875577" w:rsidRPr="00875577">
        <w:rPr>
          <w:b/>
          <w:lang w:val="uk-UA"/>
        </w:rPr>
        <w:t>80</w:t>
      </w:r>
      <w:r w:rsidRPr="00875577">
        <w:rPr>
          <w:b/>
          <w:lang w:val="uk-UA"/>
        </w:rPr>
        <w:t>0</w:t>
      </w:r>
      <w:r w:rsidRPr="00A67022">
        <w:rPr>
          <w:lang w:val="uk-UA"/>
        </w:rPr>
        <w:t xml:space="preserve"> «</w:t>
      </w:r>
      <w:r w:rsidR="00875577">
        <w:rPr>
          <w:lang w:val="uk-UA"/>
        </w:rPr>
        <w:t>С</w:t>
      </w:r>
      <w:r w:rsidR="00875577" w:rsidRPr="00875577">
        <w:rPr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 w:rsidRPr="00A67022">
        <w:rPr>
          <w:lang w:val="uk-UA"/>
        </w:rPr>
        <w:t xml:space="preserve">» затверджено асигнувань </w:t>
      </w:r>
      <w:r w:rsidR="00867765">
        <w:rPr>
          <w:lang w:val="uk-UA"/>
        </w:rPr>
        <w:t>у сумі</w:t>
      </w:r>
      <w:r w:rsidRPr="00A67022">
        <w:rPr>
          <w:lang w:val="uk-UA"/>
        </w:rPr>
        <w:t xml:space="preserve"> </w:t>
      </w:r>
      <w:r w:rsidR="00195234" w:rsidRPr="008B63C6">
        <w:rPr>
          <w:b/>
          <w:bCs/>
          <w:lang w:val="uk-UA"/>
        </w:rPr>
        <w:t>4266000</w:t>
      </w:r>
      <w:r w:rsidRPr="008B63C6">
        <w:rPr>
          <w:b/>
          <w:bCs/>
          <w:lang w:val="uk-UA"/>
        </w:rPr>
        <w:t>,00</w:t>
      </w:r>
      <w:r w:rsidRPr="00A67022">
        <w:rPr>
          <w:lang w:val="uk-UA"/>
        </w:rPr>
        <w:t xml:space="preserve"> грн, профінансовано </w:t>
      </w:r>
      <w:r w:rsidR="00195234" w:rsidRPr="008B63C6">
        <w:rPr>
          <w:b/>
          <w:bCs/>
          <w:lang w:val="uk-UA"/>
        </w:rPr>
        <w:t>4262250,36</w:t>
      </w:r>
      <w:r w:rsidRPr="00A67022">
        <w:rPr>
          <w:lang w:val="uk-UA"/>
        </w:rPr>
        <w:t xml:space="preserve"> грн. </w:t>
      </w:r>
    </w:p>
    <w:p w14:paraId="2BED3DBC" w14:textId="2213B3C0" w:rsidR="00195234" w:rsidRDefault="008028DA" w:rsidP="008375F8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347F73" w:rsidRPr="00347F73">
        <w:rPr>
          <w:lang w:val="uk-UA"/>
        </w:rPr>
        <w:t xml:space="preserve"> </w:t>
      </w:r>
      <w:proofErr w:type="spellStart"/>
      <w:r w:rsidR="00195234" w:rsidRPr="002F6397">
        <w:t>Субвенції</w:t>
      </w:r>
      <w:proofErr w:type="spellEnd"/>
      <w:r w:rsidR="00195234" w:rsidRPr="002F6397">
        <w:t xml:space="preserve"> (КПКВК 3719800) </w:t>
      </w:r>
      <w:proofErr w:type="spellStart"/>
      <w:r w:rsidR="00195234" w:rsidRPr="002F6397">
        <w:t>направлені</w:t>
      </w:r>
      <w:proofErr w:type="spellEnd"/>
      <w:r w:rsidR="00195234" w:rsidRPr="002F6397">
        <w:t xml:space="preserve"> на </w:t>
      </w:r>
      <w:proofErr w:type="spellStart"/>
      <w:r w:rsidR="00195234" w:rsidRPr="002F6397">
        <w:t>виконання</w:t>
      </w:r>
      <w:proofErr w:type="spellEnd"/>
      <w:r w:rsidR="00195234" w:rsidRPr="002F6397">
        <w:t xml:space="preserve"> </w:t>
      </w:r>
      <w:proofErr w:type="spellStart"/>
      <w:r w:rsidR="00195234" w:rsidRPr="002F6397">
        <w:t>заходів</w:t>
      </w:r>
      <w:proofErr w:type="spellEnd"/>
      <w:r w:rsidR="00195234" w:rsidRPr="002F6397">
        <w:t xml:space="preserve"> </w:t>
      </w:r>
      <w:proofErr w:type="spellStart"/>
      <w:r w:rsidR="00195234" w:rsidRPr="002F6397">
        <w:t>відповідних</w:t>
      </w:r>
      <w:proofErr w:type="spellEnd"/>
      <w:r w:rsidR="00195234" w:rsidRPr="002F6397">
        <w:t xml:space="preserve"> </w:t>
      </w:r>
      <w:proofErr w:type="spellStart"/>
      <w:r w:rsidR="00195234" w:rsidRPr="002F6397">
        <w:t>місцевих</w:t>
      </w:r>
      <w:proofErr w:type="spellEnd"/>
      <w:r w:rsidR="00195234" w:rsidRPr="002F6397">
        <w:t xml:space="preserve"> </w:t>
      </w:r>
      <w:proofErr w:type="spellStart"/>
      <w:r w:rsidR="00195234" w:rsidRPr="002F6397">
        <w:t>цільових</w:t>
      </w:r>
      <w:proofErr w:type="spellEnd"/>
      <w:r w:rsidR="00195234" w:rsidRPr="002F6397">
        <w:t xml:space="preserve"> </w:t>
      </w:r>
      <w:proofErr w:type="spellStart"/>
      <w:r w:rsidR="00195234" w:rsidRPr="002F6397">
        <w:t>програм</w:t>
      </w:r>
      <w:proofErr w:type="spellEnd"/>
      <w:r w:rsidR="00195234" w:rsidRPr="002F6397">
        <w:t xml:space="preserve"> </w:t>
      </w:r>
      <w:proofErr w:type="spellStart"/>
      <w:r w:rsidR="00195234" w:rsidRPr="002F6397">
        <w:t>наступним</w:t>
      </w:r>
      <w:proofErr w:type="spellEnd"/>
      <w:r w:rsidR="00195234" w:rsidRPr="002F6397">
        <w:t xml:space="preserve"> чином: </w:t>
      </w:r>
    </w:p>
    <w:p w14:paraId="4766101E" w14:textId="77777777" w:rsidR="00195234" w:rsidRDefault="00195234" w:rsidP="008375F8">
      <w:pPr>
        <w:ind w:firstLine="567"/>
        <w:jc w:val="both"/>
        <w:rPr>
          <w:lang w:val="uk-UA"/>
        </w:rPr>
      </w:pPr>
      <w:proofErr w:type="spellStart"/>
      <w:r w:rsidRPr="002F6397">
        <w:t>Програми</w:t>
      </w:r>
      <w:proofErr w:type="spellEnd"/>
      <w:r w:rsidRPr="002F6397">
        <w:t xml:space="preserve"> </w:t>
      </w:r>
      <w:proofErr w:type="spellStart"/>
      <w:r w:rsidRPr="002F6397">
        <w:t>профілактики</w:t>
      </w:r>
      <w:proofErr w:type="spellEnd"/>
      <w:r w:rsidRPr="002F6397">
        <w:t xml:space="preserve"> </w:t>
      </w:r>
      <w:proofErr w:type="spellStart"/>
      <w:r w:rsidRPr="002F6397">
        <w:t>правопорушень</w:t>
      </w:r>
      <w:proofErr w:type="spellEnd"/>
      <w:r w:rsidRPr="002F6397">
        <w:t xml:space="preserve"> на </w:t>
      </w:r>
      <w:proofErr w:type="spellStart"/>
      <w:r w:rsidRPr="002F6397">
        <w:t>території</w:t>
      </w:r>
      <w:proofErr w:type="spellEnd"/>
      <w:r w:rsidRPr="002F6397">
        <w:t xml:space="preserve"> </w:t>
      </w:r>
      <w:proofErr w:type="spellStart"/>
      <w:r w:rsidRPr="002F6397">
        <w:t>населених</w:t>
      </w:r>
      <w:proofErr w:type="spellEnd"/>
      <w:r w:rsidRPr="002F6397">
        <w:t xml:space="preserve"> </w:t>
      </w:r>
      <w:proofErr w:type="spellStart"/>
      <w:r w:rsidRPr="002F6397">
        <w:t>пунктів</w:t>
      </w:r>
      <w:proofErr w:type="spellEnd"/>
      <w:r w:rsidRPr="002F6397">
        <w:t xml:space="preserve"> Новгород-</w:t>
      </w:r>
      <w:proofErr w:type="spellStart"/>
      <w:r w:rsidRPr="002F6397">
        <w:t>Сіверської</w:t>
      </w:r>
      <w:proofErr w:type="spellEnd"/>
      <w:r w:rsidRPr="002F6397">
        <w:t xml:space="preserve"> </w:t>
      </w:r>
      <w:proofErr w:type="spellStart"/>
      <w:r w:rsidRPr="002F6397">
        <w:t>міської</w:t>
      </w:r>
      <w:proofErr w:type="spellEnd"/>
      <w:r w:rsidRPr="002F6397">
        <w:t xml:space="preserve"> </w:t>
      </w:r>
      <w:proofErr w:type="spellStart"/>
      <w:r w:rsidRPr="002F6397">
        <w:t>територіальної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 xml:space="preserve"> на 2025-2026 роки у </w:t>
      </w:r>
      <w:proofErr w:type="spellStart"/>
      <w:r w:rsidRPr="002F6397">
        <w:t>сумі</w:t>
      </w:r>
      <w:proofErr w:type="spellEnd"/>
      <w:r w:rsidRPr="002F6397">
        <w:t xml:space="preserve"> </w:t>
      </w:r>
      <w:r>
        <w:rPr>
          <w:lang w:val="uk-UA"/>
        </w:rPr>
        <w:t>319718</w:t>
      </w:r>
      <w:r w:rsidRPr="002F6397">
        <w:t>,</w:t>
      </w:r>
      <w:r>
        <w:rPr>
          <w:lang w:val="uk-UA"/>
        </w:rPr>
        <w:t>7</w:t>
      </w:r>
      <w:r w:rsidRPr="002F6397">
        <w:t xml:space="preserve">0 грн та </w:t>
      </w:r>
      <w:proofErr w:type="spellStart"/>
      <w:r w:rsidRPr="002F6397">
        <w:t>програми</w:t>
      </w:r>
      <w:proofErr w:type="spellEnd"/>
      <w:r w:rsidRPr="002F6397">
        <w:t xml:space="preserve"> «</w:t>
      </w:r>
      <w:proofErr w:type="spellStart"/>
      <w:r w:rsidRPr="002F6397">
        <w:t>Поліцейський</w:t>
      </w:r>
      <w:proofErr w:type="spellEnd"/>
      <w:r w:rsidRPr="002F6397">
        <w:t xml:space="preserve"> </w:t>
      </w:r>
      <w:proofErr w:type="spellStart"/>
      <w:r w:rsidRPr="002F6397">
        <w:t>офіцер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>» Новгород-</w:t>
      </w:r>
      <w:proofErr w:type="spellStart"/>
      <w:r w:rsidRPr="002F6397">
        <w:t>Сіверської</w:t>
      </w:r>
      <w:proofErr w:type="spellEnd"/>
      <w:r w:rsidRPr="002F6397">
        <w:t xml:space="preserve"> </w:t>
      </w:r>
      <w:proofErr w:type="spellStart"/>
      <w:r w:rsidRPr="002F6397">
        <w:t>міської</w:t>
      </w:r>
      <w:proofErr w:type="spellEnd"/>
      <w:r w:rsidRPr="002F6397">
        <w:t xml:space="preserve"> </w:t>
      </w:r>
      <w:proofErr w:type="spellStart"/>
      <w:r w:rsidRPr="002F6397">
        <w:t>територіальної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 xml:space="preserve"> на 2022-2025 роки у </w:t>
      </w:r>
      <w:proofErr w:type="spellStart"/>
      <w:r w:rsidRPr="002F6397">
        <w:t>сумі</w:t>
      </w:r>
      <w:proofErr w:type="spellEnd"/>
      <w:r w:rsidRPr="002F6397">
        <w:t xml:space="preserve"> </w:t>
      </w:r>
      <w:r>
        <w:rPr>
          <w:lang w:val="uk-UA"/>
        </w:rPr>
        <w:t>275823</w:t>
      </w:r>
      <w:r w:rsidRPr="002F6397">
        <w:t>,</w:t>
      </w:r>
      <w:r>
        <w:rPr>
          <w:lang w:val="uk-UA"/>
        </w:rPr>
        <w:t>5</w:t>
      </w:r>
      <w:r w:rsidRPr="002F6397">
        <w:t xml:space="preserve">0 грн; </w:t>
      </w:r>
    </w:p>
    <w:p w14:paraId="31852FEF" w14:textId="77777777" w:rsidR="00195234" w:rsidRDefault="00195234" w:rsidP="008375F8">
      <w:pPr>
        <w:ind w:firstLine="567"/>
        <w:jc w:val="both"/>
        <w:rPr>
          <w:lang w:val="uk-UA"/>
        </w:rPr>
      </w:pPr>
      <w:proofErr w:type="spellStart"/>
      <w:r w:rsidRPr="002F6397">
        <w:t>Програми</w:t>
      </w:r>
      <w:proofErr w:type="spellEnd"/>
      <w:r w:rsidRPr="002F6397">
        <w:t xml:space="preserve"> </w:t>
      </w:r>
      <w:proofErr w:type="spellStart"/>
      <w:r w:rsidRPr="002F6397">
        <w:t>підвищення</w:t>
      </w:r>
      <w:proofErr w:type="spellEnd"/>
      <w:r w:rsidRPr="002F6397">
        <w:t xml:space="preserve"> </w:t>
      </w:r>
      <w:proofErr w:type="spellStart"/>
      <w:r w:rsidRPr="002F6397">
        <w:t>оперативних</w:t>
      </w:r>
      <w:proofErr w:type="spellEnd"/>
      <w:r w:rsidRPr="002F6397">
        <w:t xml:space="preserve"> </w:t>
      </w:r>
      <w:proofErr w:type="spellStart"/>
      <w:r w:rsidRPr="002F6397">
        <w:t>спроможностей</w:t>
      </w:r>
      <w:proofErr w:type="spellEnd"/>
      <w:r w:rsidRPr="002F6397">
        <w:t xml:space="preserve"> 7 </w:t>
      </w:r>
      <w:proofErr w:type="spellStart"/>
      <w:r w:rsidRPr="002F6397">
        <w:t>Державної</w:t>
      </w:r>
      <w:proofErr w:type="spellEnd"/>
      <w:r w:rsidRPr="002F6397">
        <w:t xml:space="preserve"> </w:t>
      </w:r>
      <w:proofErr w:type="spellStart"/>
      <w:r w:rsidRPr="002F6397">
        <w:t>пожежно-рятувальної</w:t>
      </w:r>
      <w:proofErr w:type="spellEnd"/>
      <w:r w:rsidRPr="002F6397">
        <w:t xml:space="preserve"> </w:t>
      </w:r>
      <w:proofErr w:type="spellStart"/>
      <w:r w:rsidRPr="002F6397">
        <w:t>частини</w:t>
      </w:r>
      <w:proofErr w:type="spellEnd"/>
      <w:r w:rsidRPr="002F6397">
        <w:t xml:space="preserve"> (м. Новгород-</w:t>
      </w:r>
      <w:proofErr w:type="spellStart"/>
      <w:r w:rsidRPr="002F6397">
        <w:t>Сіверський</w:t>
      </w:r>
      <w:proofErr w:type="spellEnd"/>
      <w:r w:rsidRPr="002F6397">
        <w:t xml:space="preserve">) 2 ДПРЗ ГУ ДСНС </w:t>
      </w:r>
      <w:proofErr w:type="spellStart"/>
      <w:r w:rsidRPr="002F6397">
        <w:t>України</w:t>
      </w:r>
      <w:proofErr w:type="spellEnd"/>
      <w:r w:rsidRPr="002F6397">
        <w:t xml:space="preserve"> у </w:t>
      </w:r>
      <w:proofErr w:type="spellStart"/>
      <w:r w:rsidRPr="002F6397">
        <w:t>Чернігівській</w:t>
      </w:r>
      <w:proofErr w:type="spellEnd"/>
      <w:r w:rsidRPr="002F6397">
        <w:t xml:space="preserve"> </w:t>
      </w:r>
      <w:proofErr w:type="spellStart"/>
      <w:r w:rsidRPr="002F6397">
        <w:t>області</w:t>
      </w:r>
      <w:proofErr w:type="spellEnd"/>
      <w:r w:rsidRPr="002F6397">
        <w:t xml:space="preserve"> для </w:t>
      </w:r>
      <w:proofErr w:type="spellStart"/>
      <w:r w:rsidRPr="002F6397">
        <w:t>реагування</w:t>
      </w:r>
      <w:proofErr w:type="spellEnd"/>
      <w:r w:rsidRPr="002F6397">
        <w:t xml:space="preserve"> на </w:t>
      </w:r>
      <w:proofErr w:type="spellStart"/>
      <w:r w:rsidRPr="002F6397">
        <w:t>надзвичайні</w:t>
      </w:r>
      <w:proofErr w:type="spellEnd"/>
      <w:r w:rsidRPr="002F6397">
        <w:t xml:space="preserve"> </w:t>
      </w:r>
      <w:proofErr w:type="spellStart"/>
      <w:r w:rsidRPr="002F6397">
        <w:t>ситуації</w:t>
      </w:r>
      <w:proofErr w:type="spellEnd"/>
      <w:r w:rsidRPr="002F6397">
        <w:t xml:space="preserve"> та </w:t>
      </w:r>
      <w:proofErr w:type="spellStart"/>
      <w:r w:rsidRPr="002F6397">
        <w:t>події</w:t>
      </w:r>
      <w:proofErr w:type="spellEnd"/>
      <w:r w:rsidRPr="002F6397">
        <w:t xml:space="preserve"> на </w:t>
      </w:r>
      <w:proofErr w:type="spellStart"/>
      <w:r w:rsidRPr="002F6397">
        <w:t>території</w:t>
      </w:r>
      <w:proofErr w:type="spellEnd"/>
      <w:r w:rsidRPr="002F6397">
        <w:t xml:space="preserve"> </w:t>
      </w:r>
      <w:proofErr w:type="spellStart"/>
      <w:r w:rsidRPr="002F6397">
        <w:t>населених</w:t>
      </w:r>
      <w:proofErr w:type="spellEnd"/>
      <w:r w:rsidRPr="002F6397">
        <w:t xml:space="preserve"> </w:t>
      </w:r>
      <w:proofErr w:type="spellStart"/>
      <w:r w:rsidRPr="002F6397">
        <w:t>пунктів</w:t>
      </w:r>
      <w:proofErr w:type="spellEnd"/>
      <w:r w:rsidRPr="002F6397">
        <w:t xml:space="preserve"> Новгород-</w:t>
      </w:r>
      <w:proofErr w:type="spellStart"/>
      <w:r w:rsidRPr="002F6397">
        <w:t>Сіверської</w:t>
      </w:r>
      <w:proofErr w:type="spellEnd"/>
      <w:r w:rsidRPr="002F6397">
        <w:t xml:space="preserve"> </w:t>
      </w:r>
      <w:proofErr w:type="spellStart"/>
      <w:r w:rsidRPr="002F6397">
        <w:t>міської</w:t>
      </w:r>
      <w:proofErr w:type="spellEnd"/>
      <w:r w:rsidRPr="002F6397">
        <w:t xml:space="preserve"> </w:t>
      </w:r>
      <w:proofErr w:type="spellStart"/>
      <w:r w:rsidRPr="002F6397">
        <w:t>територіальної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 xml:space="preserve"> на 2025-2027 роки у </w:t>
      </w:r>
      <w:proofErr w:type="spellStart"/>
      <w:r w:rsidRPr="002F6397">
        <w:t>сумі</w:t>
      </w:r>
      <w:proofErr w:type="spellEnd"/>
      <w:r w:rsidRPr="002F6397">
        <w:t xml:space="preserve"> </w:t>
      </w:r>
      <w:r>
        <w:rPr>
          <w:lang w:val="uk-UA"/>
        </w:rPr>
        <w:t>300</w:t>
      </w:r>
      <w:r w:rsidRPr="002F6397">
        <w:t xml:space="preserve">000,00 грн; </w:t>
      </w:r>
    </w:p>
    <w:p w14:paraId="34181A1B" w14:textId="2F8DE391" w:rsidR="008B63C6" w:rsidRDefault="00195234" w:rsidP="008375F8">
      <w:pPr>
        <w:ind w:firstLine="567"/>
        <w:jc w:val="both"/>
        <w:rPr>
          <w:lang w:val="uk-UA"/>
        </w:rPr>
      </w:pPr>
      <w:proofErr w:type="spellStart"/>
      <w:r w:rsidRPr="002F6397">
        <w:t>Програми</w:t>
      </w:r>
      <w:proofErr w:type="spellEnd"/>
      <w:r w:rsidRPr="002F6397">
        <w:t xml:space="preserve"> </w:t>
      </w:r>
      <w:proofErr w:type="spellStart"/>
      <w:r w:rsidRPr="002F6397">
        <w:t>забезпечення</w:t>
      </w:r>
      <w:proofErr w:type="spellEnd"/>
      <w:r w:rsidRPr="002F6397">
        <w:t xml:space="preserve"> </w:t>
      </w:r>
      <w:proofErr w:type="spellStart"/>
      <w:r w:rsidRPr="002F6397">
        <w:t>проведення</w:t>
      </w:r>
      <w:proofErr w:type="spellEnd"/>
      <w:r w:rsidRPr="002F6397">
        <w:t xml:space="preserve"> </w:t>
      </w:r>
      <w:proofErr w:type="spellStart"/>
      <w:r w:rsidRPr="002F6397">
        <w:t>заходів</w:t>
      </w:r>
      <w:proofErr w:type="spellEnd"/>
      <w:r w:rsidRPr="002F6397">
        <w:t xml:space="preserve"> і </w:t>
      </w:r>
      <w:proofErr w:type="spellStart"/>
      <w:r w:rsidRPr="002F6397">
        <w:t>робіт</w:t>
      </w:r>
      <w:proofErr w:type="spellEnd"/>
      <w:r w:rsidRPr="002F6397">
        <w:t xml:space="preserve"> з </w:t>
      </w:r>
      <w:proofErr w:type="spellStart"/>
      <w:r w:rsidRPr="002F6397">
        <w:t>мобілізаційної</w:t>
      </w:r>
      <w:proofErr w:type="spellEnd"/>
      <w:r w:rsidRPr="002F6397">
        <w:t xml:space="preserve"> </w:t>
      </w:r>
      <w:proofErr w:type="spellStart"/>
      <w:r w:rsidRPr="002F6397">
        <w:t>підготовки</w:t>
      </w:r>
      <w:proofErr w:type="spellEnd"/>
      <w:r w:rsidRPr="002F6397">
        <w:t xml:space="preserve"> </w:t>
      </w:r>
      <w:proofErr w:type="spellStart"/>
      <w:r w:rsidRPr="002F6397">
        <w:t>місцевого</w:t>
      </w:r>
      <w:proofErr w:type="spellEnd"/>
      <w:r w:rsidRPr="002F6397">
        <w:t xml:space="preserve"> </w:t>
      </w:r>
      <w:proofErr w:type="spellStart"/>
      <w:r w:rsidRPr="002F6397">
        <w:t>значення</w:t>
      </w:r>
      <w:proofErr w:type="spellEnd"/>
      <w:r w:rsidRPr="002F6397">
        <w:t xml:space="preserve">, </w:t>
      </w:r>
      <w:proofErr w:type="spellStart"/>
      <w:r w:rsidRPr="002F6397">
        <w:t>мобілізації</w:t>
      </w:r>
      <w:proofErr w:type="spellEnd"/>
      <w:r w:rsidRPr="002F6397">
        <w:t xml:space="preserve"> та </w:t>
      </w:r>
      <w:proofErr w:type="spellStart"/>
      <w:r w:rsidRPr="002F6397">
        <w:t>територіальної</w:t>
      </w:r>
      <w:proofErr w:type="spellEnd"/>
      <w:r w:rsidRPr="002F6397">
        <w:t xml:space="preserve"> оборони Новгород-</w:t>
      </w:r>
      <w:proofErr w:type="spellStart"/>
      <w:r w:rsidRPr="002F6397">
        <w:t>Сіверської</w:t>
      </w:r>
      <w:proofErr w:type="spellEnd"/>
      <w:r w:rsidRPr="002F6397">
        <w:t xml:space="preserve"> </w:t>
      </w:r>
      <w:proofErr w:type="spellStart"/>
      <w:r w:rsidRPr="002F6397">
        <w:t>міської</w:t>
      </w:r>
      <w:proofErr w:type="spellEnd"/>
      <w:r w:rsidRPr="002F6397">
        <w:t xml:space="preserve"> </w:t>
      </w:r>
      <w:proofErr w:type="spellStart"/>
      <w:r w:rsidRPr="002F6397">
        <w:t>територіальної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 xml:space="preserve"> на 2022-2025 роки у </w:t>
      </w:r>
      <w:proofErr w:type="spellStart"/>
      <w:r w:rsidRPr="002F6397">
        <w:t>сумі</w:t>
      </w:r>
      <w:proofErr w:type="spellEnd"/>
      <w:r w:rsidRPr="002F6397">
        <w:t xml:space="preserve"> </w:t>
      </w:r>
      <w:r>
        <w:rPr>
          <w:lang w:val="uk-UA"/>
        </w:rPr>
        <w:t>2599689</w:t>
      </w:r>
      <w:r w:rsidRPr="002F6397">
        <w:t>,</w:t>
      </w:r>
      <w:r>
        <w:rPr>
          <w:lang w:val="uk-UA"/>
        </w:rPr>
        <w:t>46</w:t>
      </w:r>
      <w:r w:rsidRPr="002F6397">
        <w:t xml:space="preserve"> грн</w:t>
      </w:r>
      <w:r w:rsidR="008B63C6">
        <w:rPr>
          <w:lang w:val="uk-UA"/>
        </w:rPr>
        <w:t>;</w:t>
      </w:r>
      <w:r w:rsidRPr="002F6397">
        <w:t xml:space="preserve"> </w:t>
      </w:r>
      <w:r>
        <w:rPr>
          <w:lang w:val="uk-UA"/>
        </w:rPr>
        <w:t xml:space="preserve">               </w:t>
      </w:r>
      <w:r w:rsidR="008B63C6">
        <w:rPr>
          <w:lang w:val="uk-UA"/>
        </w:rPr>
        <w:t xml:space="preserve">       </w:t>
      </w:r>
    </w:p>
    <w:p w14:paraId="0414E407" w14:textId="53A3161E" w:rsidR="008B63C6" w:rsidRDefault="00195234" w:rsidP="008375F8">
      <w:pPr>
        <w:ind w:firstLine="567"/>
        <w:jc w:val="both"/>
        <w:rPr>
          <w:lang w:val="uk-UA"/>
        </w:rPr>
      </w:pPr>
      <w:proofErr w:type="spellStart"/>
      <w:r w:rsidRPr="002F6397">
        <w:t>Програми</w:t>
      </w:r>
      <w:proofErr w:type="spellEnd"/>
      <w:r w:rsidRPr="002F6397">
        <w:t xml:space="preserve"> </w:t>
      </w:r>
      <w:proofErr w:type="spellStart"/>
      <w:r w:rsidRPr="002F6397">
        <w:t>підвищення</w:t>
      </w:r>
      <w:proofErr w:type="spellEnd"/>
      <w:r w:rsidRPr="002F6397">
        <w:t xml:space="preserve"> </w:t>
      </w:r>
      <w:proofErr w:type="spellStart"/>
      <w:r w:rsidRPr="002F6397">
        <w:t>ефективності</w:t>
      </w:r>
      <w:proofErr w:type="spellEnd"/>
      <w:r w:rsidRPr="002F6397">
        <w:t xml:space="preserve"> </w:t>
      </w:r>
      <w:proofErr w:type="spellStart"/>
      <w:r w:rsidRPr="002F6397">
        <w:t>виконання</w:t>
      </w:r>
      <w:proofErr w:type="spellEnd"/>
      <w:r w:rsidRPr="002F6397">
        <w:t xml:space="preserve"> </w:t>
      </w:r>
      <w:proofErr w:type="spellStart"/>
      <w:r w:rsidRPr="002F6397">
        <w:t>повноважень</w:t>
      </w:r>
      <w:proofErr w:type="spellEnd"/>
      <w:r w:rsidRPr="002F6397">
        <w:t xml:space="preserve"> Новгород-</w:t>
      </w:r>
      <w:proofErr w:type="spellStart"/>
      <w:r w:rsidRPr="002F6397">
        <w:t>Сіверською</w:t>
      </w:r>
      <w:proofErr w:type="spellEnd"/>
      <w:r w:rsidRPr="002F6397">
        <w:t xml:space="preserve"> районною державною (</w:t>
      </w:r>
      <w:proofErr w:type="spellStart"/>
      <w:r w:rsidRPr="002F6397">
        <w:t>військовою</w:t>
      </w:r>
      <w:proofErr w:type="spellEnd"/>
      <w:r w:rsidRPr="002F6397">
        <w:t xml:space="preserve">) </w:t>
      </w:r>
      <w:proofErr w:type="spellStart"/>
      <w:r w:rsidRPr="002F6397">
        <w:t>адміністрацією</w:t>
      </w:r>
      <w:proofErr w:type="spellEnd"/>
      <w:r w:rsidRPr="002F6397">
        <w:t xml:space="preserve"> </w:t>
      </w:r>
      <w:proofErr w:type="spellStart"/>
      <w:r w:rsidRPr="002F6397">
        <w:t>Чернігівської</w:t>
      </w:r>
      <w:proofErr w:type="spellEnd"/>
      <w:r w:rsidRPr="002F6397">
        <w:t xml:space="preserve"> </w:t>
      </w:r>
      <w:proofErr w:type="spellStart"/>
      <w:r w:rsidRPr="002F6397">
        <w:t>області</w:t>
      </w:r>
      <w:proofErr w:type="spellEnd"/>
      <w:r w:rsidRPr="002F6397">
        <w:t xml:space="preserve"> </w:t>
      </w:r>
      <w:proofErr w:type="spellStart"/>
      <w:r w:rsidRPr="002F6397">
        <w:t>щодо</w:t>
      </w:r>
      <w:proofErr w:type="spellEnd"/>
      <w:r w:rsidRPr="002F6397">
        <w:t xml:space="preserve"> </w:t>
      </w:r>
      <w:proofErr w:type="spellStart"/>
      <w:r w:rsidRPr="002F6397">
        <w:t>реалізації</w:t>
      </w:r>
      <w:proofErr w:type="spellEnd"/>
      <w:r w:rsidRPr="002F6397">
        <w:t xml:space="preserve"> </w:t>
      </w:r>
      <w:proofErr w:type="spellStart"/>
      <w:r w:rsidRPr="002F6397">
        <w:t>державної</w:t>
      </w:r>
      <w:proofErr w:type="spellEnd"/>
      <w:r w:rsidRPr="002F6397">
        <w:t xml:space="preserve"> </w:t>
      </w:r>
      <w:proofErr w:type="spellStart"/>
      <w:r w:rsidRPr="002F6397">
        <w:t>регіональної</w:t>
      </w:r>
      <w:proofErr w:type="spellEnd"/>
      <w:r w:rsidRPr="002F6397">
        <w:t xml:space="preserve"> </w:t>
      </w:r>
      <w:proofErr w:type="spellStart"/>
      <w:r w:rsidRPr="002F6397">
        <w:t>політики</w:t>
      </w:r>
      <w:proofErr w:type="spellEnd"/>
      <w:r w:rsidRPr="002F6397">
        <w:t xml:space="preserve"> на </w:t>
      </w:r>
      <w:proofErr w:type="spellStart"/>
      <w:r w:rsidRPr="002F6397">
        <w:t>території</w:t>
      </w:r>
      <w:proofErr w:type="spellEnd"/>
      <w:r w:rsidRPr="002F6397">
        <w:t xml:space="preserve"> Новгород-</w:t>
      </w:r>
      <w:proofErr w:type="spellStart"/>
      <w:r w:rsidRPr="002F6397">
        <w:t>Сіверської</w:t>
      </w:r>
      <w:proofErr w:type="spellEnd"/>
      <w:r w:rsidRPr="002F6397">
        <w:t xml:space="preserve"> </w:t>
      </w:r>
      <w:proofErr w:type="spellStart"/>
      <w:r w:rsidRPr="002F6397">
        <w:t>міської</w:t>
      </w:r>
      <w:proofErr w:type="spellEnd"/>
      <w:r w:rsidRPr="002F6397">
        <w:t xml:space="preserve"> </w:t>
      </w:r>
      <w:proofErr w:type="spellStart"/>
      <w:r w:rsidRPr="002F6397">
        <w:t>територіальної</w:t>
      </w:r>
      <w:proofErr w:type="spellEnd"/>
      <w:r w:rsidRPr="002F6397">
        <w:t xml:space="preserve"> </w:t>
      </w:r>
      <w:proofErr w:type="spellStart"/>
      <w:r w:rsidRPr="002F6397">
        <w:t>громади</w:t>
      </w:r>
      <w:proofErr w:type="spellEnd"/>
      <w:r w:rsidRPr="002F6397">
        <w:t xml:space="preserve"> в </w:t>
      </w:r>
      <w:proofErr w:type="spellStart"/>
      <w:r w:rsidRPr="002F6397">
        <w:t>період</w:t>
      </w:r>
      <w:proofErr w:type="spellEnd"/>
      <w:r w:rsidRPr="002F6397">
        <w:t xml:space="preserve"> </w:t>
      </w:r>
      <w:proofErr w:type="spellStart"/>
      <w:r w:rsidRPr="002F6397">
        <w:t>воєнного</w:t>
      </w:r>
      <w:proofErr w:type="spellEnd"/>
      <w:r w:rsidRPr="002F6397">
        <w:t xml:space="preserve"> стану на 2025 </w:t>
      </w:r>
      <w:proofErr w:type="spellStart"/>
      <w:r w:rsidRPr="002F6397">
        <w:t>рік</w:t>
      </w:r>
      <w:proofErr w:type="spellEnd"/>
      <w:r w:rsidRPr="002F6397">
        <w:t xml:space="preserve"> у </w:t>
      </w:r>
      <w:proofErr w:type="spellStart"/>
      <w:r w:rsidRPr="002F6397">
        <w:t>сумі</w:t>
      </w:r>
      <w:proofErr w:type="spellEnd"/>
      <w:r w:rsidRPr="002F6397">
        <w:t xml:space="preserve"> 300000,00 грн; </w:t>
      </w:r>
    </w:p>
    <w:p w14:paraId="5D8C9FEA" w14:textId="099C1608" w:rsidR="00195234" w:rsidRDefault="00195234" w:rsidP="008375F8">
      <w:pPr>
        <w:ind w:firstLine="567"/>
        <w:jc w:val="both"/>
        <w:rPr>
          <w:lang w:val="uk-UA"/>
        </w:rPr>
      </w:pPr>
      <w:proofErr w:type="spellStart"/>
      <w:r w:rsidRPr="002F6397">
        <w:t>Програми</w:t>
      </w:r>
      <w:proofErr w:type="spellEnd"/>
      <w:r w:rsidRPr="002F6397">
        <w:t xml:space="preserve"> </w:t>
      </w:r>
      <w:proofErr w:type="spellStart"/>
      <w:r w:rsidRPr="002F6397">
        <w:t>підтримки</w:t>
      </w:r>
      <w:proofErr w:type="spellEnd"/>
      <w:r w:rsidRPr="002F6397">
        <w:t xml:space="preserve"> Новгород-</w:t>
      </w:r>
      <w:proofErr w:type="spellStart"/>
      <w:r w:rsidRPr="002F6397">
        <w:t>Сіверського</w:t>
      </w:r>
      <w:proofErr w:type="spellEnd"/>
      <w:r w:rsidRPr="002F6397">
        <w:t xml:space="preserve"> районного сектору № 1 </w:t>
      </w:r>
      <w:proofErr w:type="spellStart"/>
      <w:r w:rsidRPr="002F6397">
        <w:t>філії</w:t>
      </w:r>
      <w:proofErr w:type="spellEnd"/>
      <w:r w:rsidRPr="002F6397">
        <w:t xml:space="preserve"> </w:t>
      </w:r>
      <w:proofErr w:type="spellStart"/>
      <w:r w:rsidRPr="002F6397">
        <w:t>Державної</w:t>
      </w:r>
      <w:proofErr w:type="spellEnd"/>
      <w:r w:rsidRPr="002F6397">
        <w:t xml:space="preserve"> установи "Центр </w:t>
      </w:r>
      <w:proofErr w:type="spellStart"/>
      <w:r w:rsidRPr="002F6397">
        <w:t>пробації</w:t>
      </w:r>
      <w:proofErr w:type="spellEnd"/>
      <w:r w:rsidRPr="002F6397">
        <w:t xml:space="preserve">" в </w:t>
      </w:r>
      <w:proofErr w:type="spellStart"/>
      <w:r w:rsidRPr="002F6397">
        <w:t>Чернігівській</w:t>
      </w:r>
      <w:proofErr w:type="spellEnd"/>
      <w:r w:rsidRPr="002F6397">
        <w:t xml:space="preserve"> </w:t>
      </w:r>
      <w:proofErr w:type="spellStart"/>
      <w:r w:rsidRPr="002F6397">
        <w:t>області</w:t>
      </w:r>
      <w:proofErr w:type="spellEnd"/>
      <w:r w:rsidRPr="002F6397">
        <w:t xml:space="preserve"> в </w:t>
      </w:r>
      <w:proofErr w:type="spellStart"/>
      <w:r w:rsidRPr="002F6397">
        <w:t>період</w:t>
      </w:r>
      <w:proofErr w:type="spellEnd"/>
      <w:r w:rsidRPr="002F6397">
        <w:t xml:space="preserve"> </w:t>
      </w:r>
      <w:proofErr w:type="spellStart"/>
      <w:r w:rsidRPr="002F6397">
        <w:t>воєнного</w:t>
      </w:r>
      <w:proofErr w:type="spellEnd"/>
      <w:r w:rsidRPr="002F6397">
        <w:t xml:space="preserve"> стану на 2025-2026 роки у </w:t>
      </w:r>
      <w:proofErr w:type="spellStart"/>
      <w:r w:rsidRPr="002F6397">
        <w:t>сумі</w:t>
      </w:r>
      <w:proofErr w:type="spellEnd"/>
      <w:r w:rsidRPr="002F6397">
        <w:t xml:space="preserve"> 20000,00 грн</w:t>
      </w:r>
      <w:r w:rsidR="008B63C6">
        <w:rPr>
          <w:lang w:val="uk-UA"/>
        </w:rPr>
        <w:t>;</w:t>
      </w:r>
      <w:r w:rsidRPr="002F6397">
        <w:t xml:space="preserve"> </w:t>
      </w:r>
    </w:p>
    <w:p w14:paraId="76DFC7C5" w14:textId="1C547636" w:rsidR="00195234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 w:rsidRPr="00E13DCF">
        <w:rPr>
          <w:lang w:val="uk-UA"/>
        </w:rPr>
        <w:t>Програм</w:t>
      </w:r>
      <w:r>
        <w:rPr>
          <w:lang w:val="uk-UA"/>
        </w:rPr>
        <w:t>и</w:t>
      </w:r>
      <w:r w:rsidRPr="00E13DCF">
        <w:rPr>
          <w:lang w:val="uk-UA"/>
        </w:rPr>
        <w:t xml:space="preserve"> забезпечення державної безпеки на території Новгород-Сіверської міської територіальної громади та матеріально-технічного забезпечення районного відділу Управління Служби безпеки України  в Чернігівській області на 2025-2026 роки</w:t>
      </w:r>
      <w:r>
        <w:rPr>
          <w:lang w:val="uk-UA"/>
        </w:rPr>
        <w:t xml:space="preserve"> </w:t>
      </w:r>
      <w:r w:rsidR="00867765">
        <w:rPr>
          <w:lang w:val="uk-UA"/>
        </w:rPr>
        <w:t>у сумі</w:t>
      </w:r>
      <w:r>
        <w:rPr>
          <w:lang w:val="uk-UA"/>
        </w:rPr>
        <w:t xml:space="preserve"> 199907,10 грн</w:t>
      </w:r>
      <w:r w:rsidR="008B63C6">
        <w:rPr>
          <w:lang w:val="uk-UA"/>
        </w:rPr>
        <w:t>;</w:t>
      </w:r>
    </w:p>
    <w:p w14:paraId="01FFC2C3" w14:textId="2E312CBC" w:rsidR="00195234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 w:rsidRPr="00306275">
        <w:rPr>
          <w:lang w:val="uk-UA"/>
        </w:rPr>
        <w:t>Програм</w:t>
      </w:r>
      <w:r>
        <w:rPr>
          <w:lang w:val="uk-UA"/>
        </w:rPr>
        <w:t>и</w:t>
      </w:r>
      <w:r w:rsidRPr="00306275">
        <w:rPr>
          <w:lang w:val="uk-UA"/>
        </w:rPr>
        <w:t xml:space="preserve"> забезпечення безпеки населення Новгород-Сіверської міської територіальної громади Державною установою "Новгород-Сіверська установа покарань (№31)" на 2025 рік</w:t>
      </w:r>
      <w:r>
        <w:rPr>
          <w:lang w:val="uk-UA"/>
        </w:rPr>
        <w:t xml:space="preserve"> </w:t>
      </w:r>
      <w:r w:rsidR="00867765">
        <w:rPr>
          <w:lang w:val="uk-UA"/>
        </w:rPr>
        <w:t>у сумі</w:t>
      </w:r>
      <w:r>
        <w:rPr>
          <w:lang w:val="uk-UA"/>
        </w:rPr>
        <w:t xml:space="preserve"> 150000,00 грн</w:t>
      </w:r>
      <w:r w:rsidR="008B63C6">
        <w:rPr>
          <w:lang w:val="uk-UA"/>
        </w:rPr>
        <w:t>;</w:t>
      </w:r>
    </w:p>
    <w:p w14:paraId="4BDF5F6C" w14:textId="4D183158" w:rsidR="00195234" w:rsidRDefault="00195234" w:rsidP="008375F8">
      <w:pPr>
        <w:tabs>
          <w:tab w:val="left" w:pos="0"/>
        </w:tabs>
        <w:ind w:firstLine="567"/>
        <w:jc w:val="both"/>
        <w:rPr>
          <w:lang w:val="uk-UA"/>
        </w:rPr>
      </w:pPr>
      <w:r w:rsidRPr="00830FD5">
        <w:rPr>
          <w:lang w:val="uk-UA"/>
        </w:rPr>
        <w:t>Програм</w:t>
      </w:r>
      <w:r>
        <w:rPr>
          <w:lang w:val="uk-UA"/>
        </w:rPr>
        <w:t>и</w:t>
      </w:r>
      <w:r w:rsidRPr="00830FD5">
        <w:rPr>
          <w:lang w:val="uk-UA"/>
        </w:rPr>
        <w:t xml:space="preserve"> сприяння діяльності Відділу державного нагляду (контролю) у </w:t>
      </w:r>
      <w:r>
        <w:rPr>
          <w:lang w:val="uk-UA"/>
        </w:rPr>
        <w:t>Ч</w:t>
      </w:r>
      <w:r w:rsidRPr="00830FD5">
        <w:rPr>
          <w:lang w:val="uk-UA"/>
        </w:rPr>
        <w:t>ернігівській області Державної служби України з безпеки на транспорті на 2025 рік</w:t>
      </w:r>
      <w:r>
        <w:rPr>
          <w:lang w:val="uk-UA"/>
        </w:rPr>
        <w:t xml:space="preserve"> у сумі 97111,60 грн</w:t>
      </w:r>
      <w:r w:rsidR="008B63C6">
        <w:rPr>
          <w:lang w:val="uk-UA"/>
        </w:rPr>
        <w:t>.</w:t>
      </w:r>
    </w:p>
    <w:p w14:paraId="0937DA18" w14:textId="77777777" w:rsidR="00875577" w:rsidRPr="00875577" w:rsidRDefault="00875577" w:rsidP="008375F8">
      <w:pPr>
        <w:ind w:firstLine="709"/>
        <w:jc w:val="both"/>
        <w:rPr>
          <w:color w:val="000000"/>
          <w:lang w:val="uk-UA"/>
        </w:rPr>
      </w:pPr>
      <w:r w:rsidRPr="00875577">
        <w:rPr>
          <w:color w:val="000000"/>
          <w:lang w:val="uk-UA"/>
        </w:rPr>
        <w:t>Видатки з резервного фонду (КПКВК 3718710)  не проводились.</w:t>
      </w:r>
    </w:p>
    <w:p w14:paraId="079FE1DB" w14:textId="129E07EF" w:rsidR="008B63C6" w:rsidRDefault="00F42DF4" w:rsidP="008375F8">
      <w:pPr>
        <w:ind w:firstLine="709"/>
        <w:jc w:val="both"/>
        <w:rPr>
          <w:lang w:val="uk-UA"/>
        </w:rPr>
      </w:pPr>
      <w:r>
        <w:rPr>
          <w:lang w:val="uk-UA"/>
        </w:rPr>
        <w:t xml:space="preserve">По спеціальному фонду на </w:t>
      </w:r>
      <w:r w:rsidR="00B963A0">
        <w:rPr>
          <w:lang w:val="uk-UA"/>
        </w:rPr>
        <w:t>202</w:t>
      </w:r>
      <w:r w:rsidR="008B63C6">
        <w:rPr>
          <w:lang w:val="uk-UA"/>
        </w:rPr>
        <w:t>5</w:t>
      </w:r>
      <w:r w:rsidR="00B963A0">
        <w:rPr>
          <w:lang w:val="uk-UA"/>
        </w:rPr>
        <w:t xml:space="preserve"> рік</w:t>
      </w:r>
      <w:r>
        <w:rPr>
          <w:lang w:val="uk-UA"/>
        </w:rPr>
        <w:t xml:space="preserve"> </w:t>
      </w:r>
      <w:r w:rsidR="008B63C6">
        <w:rPr>
          <w:lang w:val="uk-UA"/>
        </w:rPr>
        <w:t xml:space="preserve">передбачено </w:t>
      </w:r>
      <w:r w:rsidR="008B63C6" w:rsidRPr="008B63C6">
        <w:rPr>
          <w:b/>
          <w:bCs/>
          <w:lang w:val="uk-UA"/>
        </w:rPr>
        <w:t>2014180,00</w:t>
      </w:r>
      <w:r w:rsidR="008B63C6">
        <w:rPr>
          <w:lang w:val="uk-UA"/>
        </w:rPr>
        <w:t xml:space="preserve"> грн </w:t>
      </w:r>
      <w:r w:rsidR="00602B46">
        <w:rPr>
          <w:lang w:val="uk-UA"/>
        </w:rPr>
        <w:t>асигнувань</w:t>
      </w:r>
      <w:r w:rsidR="008B63C6">
        <w:rPr>
          <w:lang w:val="uk-UA"/>
        </w:rPr>
        <w:t xml:space="preserve">. Профінансовано та використано  </w:t>
      </w:r>
      <w:r w:rsidR="008B63C6">
        <w:rPr>
          <w:b/>
          <w:lang w:val="uk-UA"/>
        </w:rPr>
        <w:t>2007732,00</w:t>
      </w:r>
      <w:r w:rsidR="008B63C6">
        <w:rPr>
          <w:lang w:val="uk-UA"/>
        </w:rPr>
        <w:t xml:space="preserve">  грн, з них </w:t>
      </w:r>
      <w:r w:rsidR="008B63C6">
        <w:rPr>
          <w:b/>
          <w:lang w:val="uk-UA"/>
        </w:rPr>
        <w:t xml:space="preserve">82180,00 </w:t>
      </w:r>
      <w:r w:rsidR="008B63C6">
        <w:rPr>
          <w:lang w:val="uk-UA"/>
        </w:rPr>
        <w:t>грн – видатки на утримання фінансового управління, які використані за цільовим призначенням у межах кошторисних призначень.</w:t>
      </w:r>
    </w:p>
    <w:p w14:paraId="3EB686F6" w14:textId="1BA83FDD" w:rsidR="008E4461" w:rsidRDefault="00342181" w:rsidP="00875577">
      <w:pPr>
        <w:ind w:firstLine="709"/>
        <w:rPr>
          <w:lang w:val="uk-UA"/>
        </w:rPr>
      </w:pPr>
      <w:r>
        <w:rPr>
          <w:lang w:val="uk-UA"/>
        </w:rPr>
        <w:t xml:space="preserve"> </w:t>
      </w:r>
      <w:r w:rsidR="008E4461">
        <w:rPr>
          <w:lang w:val="uk-UA"/>
        </w:rPr>
        <w:t xml:space="preserve">Кредитів не надавалось. </w:t>
      </w:r>
    </w:p>
    <w:p w14:paraId="7B6466B4" w14:textId="77777777" w:rsidR="00413CC8" w:rsidRDefault="00413CC8" w:rsidP="00AD50BA">
      <w:pPr>
        <w:ind w:firstLine="709"/>
        <w:jc w:val="center"/>
        <w:rPr>
          <w:b/>
          <w:color w:val="000000"/>
          <w:sz w:val="23"/>
          <w:lang w:val="uk-UA"/>
        </w:rPr>
      </w:pPr>
    </w:p>
    <w:p w14:paraId="55C4F157" w14:textId="715FFF26" w:rsidR="001A6EC4" w:rsidRPr="0053194C" w:rsidRDefault="00AD50BA" w:rsidP="00AD50BA">
      <w:pPr>
        <w:ind w:firstLine="709"/>
        <w:jc w:val="center"/>
        <w:rPr>
          <w:b/>
          <w:color w:val="000000"/>
          <w:sz w:val="23"/>
          <w:lang w:val="uk-UA"/>
        </w:rPr>
      </w:pPr>
      <w:proofErr w:type="spellStart"/>
      <w:r>
        <w:rPr>
          <w:b/>
          <w:color w:val="000000"/>
          <w:sz w:val="23"/>
        </w:rPr>
        <w:t>Ключові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результативні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показники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бюджетної</w:t>
      </w:r>
      <w:proofErr w:type="spellEnd"/>
      <w:r>
        <w:rPr>
          <w:b/>
          <w:color w:val="000000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програми</w:t>
      </w:r>
      <w:proofErr w:type="spellEnd"/>
      <w:r w:rsidR="0053194C">
        <w:rPr>
          <w:b/>
          <w:color w:val="000000"/>
          <w:sz w:val="23"/>
          <w:lang w:val="uk-UA"/>
        </w:rPr>
        <w:t xml:space="preserve"> КПК 3710160</w:t>
      </w:r>
    </w:p>
    <w:p w14:paraId="7F6B6A72" w14:textId="77777777" w:rsidR="00AD50BA" w:rsidRDefault="00AD50BA" w:rsidP="00AD50BA">
      <w:pPr>
        <w:ind w:firstLine="709"/>
        <w:jc w:val="center"/>
        <w:rPr>
          <w:b/>
          <w:color w:val="000000"/>
          <w:sz w:val="23"/>
          <w:lang w:val="uk-UA"/>
        </w:rPr>
      </w:pPr>
    </w:p>
    <w:tbl>
      <w:tblPr>
        <w:tblW w:w="967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1166"/>
        <w:gridCol w:w="1855"/>
        <w:gridCol w:w="1705"/>
        <w:gridCol w:w="1723"/>
      </w:tblGrid>
      <w:tr w:rsidR="00AD50BA" w14:paraId="42AD45C3" w14:textId="77777777" w:rsidTr="00964D3B">
        <w:trPr>
          <w:trHeight w:val="291"/>
        </w:trPr>
        <w:tc>
          <w:tcPr>
            <w:tcW w:w="3225" w:type="dxa"/>
            <w:vMerge w:val="restart"/>
          </w:tcPr>
          <w:p w14:paraId="56DFA16E" w14:textId="77777777" w:rsidR="00AD50BA" w:rsidRPr="00AD50BA" w:rsidRDefault="00AD50BA" w:rsidP="00AD50BA">
            <w:pPr>
              <w:ind w:left="-4"/>
              <w:jc w:val="center"/>
              <w:rPr>
                <w:sz w:val="22"/>
                <w:szCs w:val="22"/>
                <w:lang w:val="uk-UA"/>
              </w:rPr>
            </w:pPr>
          </w:p>
          <w:p w14:paraId="5C40E947" w14:textId="77777777" w:rsidR="00AD50BA" w:rsidRPr="00AD50BA" w:rsidRDefault="00AD50BA" w:rsidP="00AD50BA">
            <w:pPr>
              <w:ind w:left="-4" w:firstLine="709"/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1166" w:type="dxa"/>
            <w:vMerge w:val="restart"/>
          </w:tcPr>
          <w:p w14:paraId="41422D59" w14:textId="77777777"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855" w:type="dxa"/>
            <w:vMerge w:val="restart"/>
          </w:tcPr>
          <w:p w14:paraId="22D28008" w14:textId="77777777" w:rsidR="00AD50BA" w:rsidRPr="00AD50BA" w:rsidRDefault="00AD50BA" w:rsidP="00964D3B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 xml:space="preserve">Джерело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AD50BA">
              <w:rPr>
                <w:sz w:val="22"/>
                <w:szCs w:val="22"/>
                <w:lang w:val="uk-UA"/>
              </w:rPr>
              <w:t>інформації</w:t>
            </w:r>
          </w:p>
        </w:tc>
        <w:tc>
          <w:tcPr>
            <w:tcW w:w="3428" w:type="dxa"/>
            <w:gridSpan w:val="2"/>
          </w:tcPr>
          <w:p w14:paraId="00867E70" w14:textId="0CB36EB9" w:rsidR="00AD50BA" w:rsidRPr="00AD50BA" w:rsidRDefault="00AD50BA" w:rsidP="00CC75C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202</w:t>
            </w:r>
            <w:r w:rsidR="001D407A">
              <w:rPr>
                <w:sz w:val="22"/>
                <w:szCs w:val="22"/>
                <w:lang w:val="uk-UA"/>
              </w:rPr>
              <w:t>5</w:t>
            </w:r>
            <w:r w:rsidRPr="00AD50BA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AD50BA" w14:paraId="449DC71C" w14:textId="77777777" w:rsidTr="00964D3B">
        <w:trPr>
          <w:trHeight w:val="477"/>
        </w:trPr>
        <w:tc>
          <w:tcPr>
            <w:tcW w:w="3225" w:type="dxa"/>
            <w:vMerge/>
          </w:tcPr>
          <w:p w14:paraId="0C5A10BA" w14:textId="77777777" w:rsidR="00AD50BA" w:rsidRPr="00AD50BA" w:rsidRDefault="00AD50BA" w:rsidP="00AD50BA">
            <w:pPr>
              <w:ind w:left="-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66" w:type="dxa"/>
            <w:vMerge/>
          </w:tcPr>
          <w:p w14:paraId="76406810" w14:textId="77777777"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55" w:type="dxa"/>
            <w:vMerge/>
          </w:tcPr>
          <w:p w14:paraId="1FE52C5E" w14:textId="77777777"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5" w:type="dxa"/>
          </w:tcPr>
          <w:p w14:paraId="35E3E40C" w14:textId="77777777"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1723" w:type="dxa"/>
          </w:tcPr>
          <w:p w14:paraId="02B0684B" w14:textId="77777777" w:rsidR="00AD50BA" w:rsidRPr="00AD50BA" w:rsidRDefault="00AD50BA" w:rsidP="00AD50BA">
            <w:pPr>
              <w:jc w:val="center"/>
              <w:rPr>
                <w:sz w:val="22"/>
                <w:szCs w:val="22"/>
                <w:lang w:val="uk-UA"/>
              </w:rPr>
            </w:pPr>
            <w:r w:rsidRPr="00AD50BA">
              <w:rPr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AD50BA" w14:paraId="2BDFC640" w14:textId="77777777" w:rsidTr="00964D3B">
        <w:trPr>
          <w:trHeight w:val="274"/>
        </w:trPr>
        <w:tc>
          <w:tcPr>
            <w:tcW w:w="3225" w:type="dxa"/>
          </w:tcPr>
          <w:p w14:paraId="73EC4A0C" w14:textId="77777777" w:rsidR="00AD50BA" w:rsidRPr="00964D3B" w:rsidRDefault="00AD50BA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штатних одиниць</w:t>
            </w:r>
            <w:r w:rsidR="00F503E4">
              <w:rPr>
                <w:sz w:val="20"/>
                <w:szCs w:val="20"/>
                <w:lang w:val="uk-UA"/>
              </w:rPr>
              <w:t>,</w:t>
            </w:r>
          </w:p>
        </w:tc>
        <w:tc>
          <w:tcPr>
            <w:tcW w:w="1166" w:type="dxa"/>
            <w:vAlign w:val="center"/>
          </w:tcPr>
          <w:p w14:paraId="4AE1AD23" w14:textId="77777777" w:rsidR="00AD50BA" w:rsidRPr="00964D3B" w:rsidRDefault="00964D3B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855" w:type="dxa"/>
            <w:vAlign w:val="center"/>
          </w:tcPr>
          <w:p w14:paraId="4EBBFE71" w14:textId="77777777" w:rsidR="00AD50BA" w:rsidRPr="00964D3B" w:rsidRDefault="00964D3B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705" w:type="dxa"/>
            <w:vAlign w:val="center"/>
          </w:tcPr>
          <w:p w14:paraId="1D1D1004" w14:textId="77777777"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23" w:type="dxa"/>
            <w:vAlign w:val="center"/>
          </w:tcPr>
          <w:p w14:paraId="7EFC308E" w14:textId="77777777"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D50BA" w14:paraId="52D2F522" w14:textId="77777777" w:rsidTr="00F503E4">
        <w:trPr>
          <w:trHeight w:val="356"/>
        </w:trPr>
        <w:tc>
          <w:tcPr>
            <w:tcW w:w="3225" w:type="dxa"/>
            <w:vAlign w:val="center"/>
          </w:tcPr>
          <w:p w14:paraId="42C55918" w14:textId="77777777" w:rsidR="00AD50BA" w:rsidRPr="00964D3B" w:rsidRDefault="00AD50BA" w:rsidP="00F503E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у тому числі дівчат/жінок</w:t>
            </w:r>
          </w:p>
        </w:tc>
        <w:tc>
          <w:tcPr>
            <w:tcW w:w="1166" w:type="dxa"/>
            <w:vAlign w:val="center"/>
          </w:tcPr>
          <w:p w14:paraId="27F7D160" w14:textId="77777777" w:rsidR="00AD50BA" w:rsidRPr="00964D3B" w:rsidRDefault="00964D3B" w:rsidP="00F503E4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осіб</w:t>
            </w:r>
          </w:p>
          <w:p w14:paraId="692819AD" w14:textId="77777777" w:rsidR="00964D3B" w:rsidRPr="00964D3B" w:rsidRDefault="00964D3B" w:rsidP="00F503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55" w:type="dxa"/>
            <w:vAlign w:val="center"/>
          </w:tcPr>
          <w:p w14:paraId="426DFED4" w14:textId="77777777" w:rsidR="00AD50BA" w:rsidRPr="00964D3B" w:rsidRDefault="00964D3B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14:paraId="10D5E3F5" w14:textId="77777777"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23" w:type="dxa"/>
            <w:vAlign w:val="center"/>
          </w:tcPr>
          <w:p w14:paraId="7896F8C7" w14:textId="77777777" w:rsidR="00AD50BA" w:rsidRDefault="00964D3B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C26C9" w14:paraId="5C8EE2C9" w14:textId="77777777" w:rsidTr="00F503E4">
        <w:trPr>
          <w:trHeight w:val="356"/>
        </w:trPr>
        <w:tc>
          <w:tcPr>
            <w:tcW w:w="3225" w:type="dxa"/>
            <w:vAlign w:val="center"/>
          </w:tcPr>
          <w:p w14:paraId="5F3C55C4" w14:textId="71D50405" w:rsidR="00EC26C9" w:rsidRPr="00964D3B" w:rsidRDefault="00EC26C9" w:rsidP="00F503E4">
            <w:pPr>
              <w:ind w:left="-4"/>
              <w:rPr>
                <w:sz w:val="20"/>
                <w:szCs w:val="20"/>
                <w:lang w:val="uk-UA"/>
              </w:rPr>
            </w:pPr>
            <w:r w:rsidRPr="00EC26C9">
              <w:rPr>
                <w:sz w:val="20"/>
                <w:szCs w:val="20"/>
                <w:lang w:val="uk-UA"/>
              </w:rPr>
              <w:t>Витрати на матеріально - технічне забезпечення (предмети, матеріали, обладнання та інвентар)</w:t>
            </w:r>
          </w:p>
        </w:tc>
        <w:tc>
          <w:tcPr>
            <w:tcW w:w="1166" w:type="dxa"/>
            <w:vAlign w:val="center"/>
          </w:tcPr>
          <w:p w14:paraId="28B31D57" w14:textId="09C83FCF" w:rsidR="00EC26C9" w:rsidRPr="00964D3B" w:rsidRDefault="00EC26C9" w:rsidP="00F503E4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855" w:type="dxa"/>
            <w:vAlign w:val="center"/>
          </w:tcPr>
          <w:p w14:paraId="7A7963F9" w14:textId="1440FEDC" w:rsidR="00EC26C9" w:rsidRPr="00964D3B" w:rsidRDefault="00EC26C9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705" w:type="dxa"/>
            <w:vAlign w:val="center"/>
          </w:tcPr>
          <w:p w14:paraId="1DFD51B4" w14:textId="3A5161DD" w:rsidR="00EC26C9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47425,00</w:t>
            </w:r>
          </w:p>
        </w:tc>
        <w:tc>
          <w:tcPr>
            <w:tcW w:w="1723" w:type="dxa"/>
            <w:vAlign w:val="center"/>
          </w:tcPr>
          <w:p w14:paraId="1A341ED0" w14:textId="2999A001" w:rsidR="00EC26C9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22180,00</w:t>
            </w:r>
          </w:p>
        </w:tc>
      </w:tr>
      <w:tr w:rsidR="00200F77" w14:paraId="7547F3EB" w14:textId="77777777" w:rsidTr="00413CC8">
        <w:trPr>
          <w:trHeight w:val="355"/>
        </w:trPr>
        <w:tc>
          <w:tcPr>
            <w:tcW w:w="3225" w:type="dxa"/>
          </w:tcPr>
          <w:p w14:paraId="02130986" w14:textId="531C20DB" w:rsidR="00200F77" w:rsidRPr="00964D3B" w:rsidRDefault="00EC26C9" w:rsidP="0026744B">
            <w:pPr>
              <w:rPr>
                <w:sz w:val="20"/>
                <w:szCs w:val="20"/>
                <w:lang w:val="uk-UA"/>
              </w:rPr>
            </w:pPr>
            <w:r w:rsidRPr="00EC26C9">
              <w:rPr>
                <w:sz w:val="20"/>
                <w:szCs w:val="20"/>
                <w:lang w:val="uk-UA"/>
              </w:rPr>
              <w:t>Витрати на оплату праці і нарахування на заробітну плату</w:t>
            </w:r>
          </w:p>
        </w:tc>
        <w:tc>
          <w:tcPr>
            <w:tcW w:w="1166" w:type="dxa"/>
            <w:vAlign w:val="center"/>
          </w:tcPr>
          <w:p w14:paraId="2F6109EF" w14:textId="335010F6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855" w:type="dxa"/>
            <w:vAlign w:val="center"/>
          </w:tcPr>
          <w:p w14:paraId="38C6EEC4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705" w:type="dxa"/>
            <w:vAlign w:val="center"/>
          </w:tcPr>
          <w:p w14:paraId="42C2B6FC" w14:textId="7A9DCADD" w:rsidR="00200F77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3483591,83</w:t>
            </w:r>
          </w:p>
        </w:tc>
        <w:tc>
          <w:tcPr>
            <w:tcW w:w="1723" w:type="dxa"/>
            <w:vAlign w:val="center"/>
          </w:tcPr>
          <w:p w14:paraId="42F2BCF6" w14:textId="4D90AAC6" w:rsidR="00200F77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C26C9" w14:paraId="3921D25C" w14:textId="77777777" w:rsidTr="00413CC8">
        <w:trPr>
          <w:trHeight w:val="355"/>
        </w:trPr>
        <w:tc>
          <w:tcPr>
            <w:tcW w:w="3225" w:type="dxa"/>
          </w:tcPr>
          <w:p w14:paraId="47157C9A" w14:textId="3D429952" w:rsidR="00EC26C9" w:rsidRPr="00EC26C9" w:rsidRDefault="00EC26C9" w:rsidP="0026744B">
            <w:pPr>
              <w:rPr>
                <w:sz w:val="20"/>
                <w:szCs w:val="20"/>
                <w:lang w:val="uk-UA"/>
              </w:rPr>
            </w:pPr>
            <w:r w:rsidRPr="00EC26C9">
              <w:rPr>
                <w:sz w:val="20"/>
                <w:szCs w:val="20"/>
                <w:lang w:val="uk-UA"/>
              </w:rPr>
              <w:t>Витрати на комунальні послуги та енергоносії</w:t>
            </w:r>
          </w:p>
        </w:tc>
        <w:tc>
          <w:tcPr>
            <w:tcW w:w="1166" w:type="dxa"/>
            <w:vAlign w:val="center"/>
          </w:tcPr>
          <w:p w14:paraId="1E59FE95" w14:textId="6244A676" w:rsidR="00EC26C9" w:rsidRPr="00964D3B" w:rsidRDefault="00EC26C9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855" w:type="dxa"/>
            <w:vAlign w:val="center"/>
          </w:tcPr>
          <w:p w14:paraId="7D885D69" w14:textId="73695BF1" w:rsidR="00EC26C9" w:rsidRPr="00964D3B" w:rsidRDefault="00EC26C9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705" w:type="dxa"/>
            <w:vAlign w:val="center"/>
          </w:tcPr>
          <w:p w14:paraId="737489B1" w14:textId="7099DD67" w:rsidR="00EC26C9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29764,00</w:t>
            </w:r>
          </w:p>
        </w:tc>
        <w:tc>
          <w:tcPr>
            <w:tcW w:w="1723" w:type="dxa"/>
            <w:vAlign w:val="center"/>
          </w:tcPr>
          <w:p w14:paraId="58D33194" w14:textId="59CFA7FC" w:rsidR="00EC26C9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C26C9" w14:paraId="4C05ED32" w14:textId="77777777" w:rsidTr="00413CC8">
        <w:trPr>
          <w:trHeight w:val="355"/>
        </w:trPr>
        <w:tc>
          <w:tcPr>
            <w:tcW w:w="3225" w:type="dxa"/>
          </w:tcPr>
          <w:p w14:paraId="61FDC498" w14:textId="63FE1594" w:rsidR="00EC26C9" w:rsidRPr="00EC26C9" w:rsidRDefault="00EC26C9" w:rsidP="0026744B">
            <w:pPr>
              <w:rPr>
                <w:sz w:val="20"/>
                <w:szCs w:val="20"/>
                <w:lang w:val="uk-UA"/>
              </w:rPr>
            </w:pPr>
            <w:r w:rsidRPr="00EC26C9">
              <w:rPr>
                <w:sz w:val="20"/>
                <w:szCs w:val="20"/>
                <w:lang w:val="uk-UA"/>
              </w:rPr>
              <w:lastRenderedPageBreak/>
              <w:t>Інші видатки, які не мають постійного характеру в бюджетних періодах</w:t>
            </w:r>
          </w:p>
        </w:tc>
        <w:tc>
          <w:tcPr>
            <w:tcW w:w="1166" w:type="dxa"/>
            <w:vAlign w:val="center"/>
          </w:tcPr>
          <w:p w14:paraId="5F6BF5CD" w14:textId="7EB2FAE5" w:rsidR="00EC26C9" w:rsidRPr="00964D3B" w:rsidRDefault="00EC26C9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855" w:type="dxa"/>
            <w:vAlign w:val="center"/>
          </w:tcPr>
          <w:p w14:paraId="14BBF6BB" w14:textId="77777777" w:rsidR="00EC26C9" w:rsidRDefault="00EC26C9" w:rsidP="00EC26C9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9A8796" w14:textId="5C506EEA" w:rsidR="00EC26C9" w:rsidRPr="00964D3B" w:rsidRDefault="00EC26C9" w:rsidP="00EC26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964D3B">
              <w:rPr>
                <w:sz w:val="20"/>
                <w:szCs w:val="20"/>
                <w:lang w:val="uk-UA"/>
              </w:rPr>
              <w:t>ошторис</w:t>
            </w:r>
          </w:p>
          <w:p w14:paraId="4BC1999B" w14:textId="77777777" w:rsidR="00EC26C9" w:rsidRPr="00964D3B" w:rsidRDefault="00EC26C9" w:rsidP="00964D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vAlign w:val="center"/>
          </w:tcPr>
          <w:p w14:paraId="5D2EAADF" w14:textId="335C4257" w:rsidR="00EC26C9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24780,00</w:t>
            </w:r>
          </w:p>
        </w:tc>
        <w:tc>
          <w:tcPr>
            <w:tcW w:w="1723" w:type="dxa"/>
            <w:vAlign w:val="center"/>
          </w:tcPr>
          <w:p w14:paraId="625E0580" w14:textId="7569D92C" w:rsidR="00EC26C9" w:rsidRDefault="00EC26C9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14:paraId="0798E250" w14:textId="77777777" w:rsidTr="00964D3B">
        <w:trPr>
          <w:trHeight w:val="477"/>
        </w:trPr>
        <w:tc>
          <w:tcPr>
            <w:tcW w:w="3225" w:type="dxa"/>
          </w:tcPr>
          <w:p w14:paraId="6465744E" w14:textId="77777777"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 xml:space="preserve">Обсяг видатків на придбання комп`ютерної техніки, мережевого обладнання , оргтехніки, комплектуючих </w:t>
            </w:r>
          </w:p>
        </w:tc>
        <w:tc>
          <w:tcPr>
            <w:tcW w:w="1166" w:type="dxa"/>
            <w:vAlign w:val="center"/>
          </w:tcPr>
          <w:p w14:paraId="62FB8A03" w14:textId="258EC561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855" w:type="dxa"/>
            <w:vAlign w:val="center"/>
          </w:tcPr>
          <w:p w14:paraId="66EA7479" w14:textId="4B3B6BEA" w:rsidR="00200F77" w:rsidRPr="00964D3B" w:rsidRDefault="008375F8" w:rsidP="00964D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200F77" w:rsidRPr="00964D3B">
              <w:rPr>
                <w:sz w:val="20"/>
                <w:szCs w:val="20"/>
                <w:lang w:val="uk-UA"/>
              </w:rPr>
              <w:t>ошторис</w:t>
            </w:r>
          </w:p>
          <w:p w14:paraId="4B832890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vAlign w:val="center"/>
          </w:tcPr>
          <w:p w14:paraId="01B7F7A7" w14:textId="355F7F48" w:rsidR="00200F77" w:rsidRDefault="008375F8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3111,00</w:t>
            </w:r>
          </w:p>
        </w:tc>
        <w:tc>
          <w:tcPr>
            <w:tcW w:w="1723" w:type="dxa"/>
            <w:vAlign w:val="center"/>
          </w:tcPr>
          <w:p w14:paraId="09A48542" w14:textId="070E3EF3" w:rsidR="00200F77" w:rsidRDefault="008375F8" w:rsidP="00D066EF">
            <w:pPr>
              <w:rPr>
                <w:lang w:val="uk-UA"/>
              </w:rPr>
            </w:pPr>
            <w:r>
              <w:rPr>
                <w:lang w:val="uk-UA"/>
              </w:rPr>
              <w:t xml:space="preserve">     60000,00</w:t>
            </w:r>
          </w:p>
        </w:tc>
      </w:tr>
      <w:tr w:rsidR="00200F77" w14:paraId="1785998D" w14:textId="77777777" w:rsidTr="00964D3B">
        <w:trPr>
          <w:trHeight w:val="548"/>
        </w:trPr>
        <w:tc>
          <w:tcPr>
            <w:tcW w:w="3225" w:type="dxa"/>
          </w:tcPr>
          <w:p w14:paraId="0F2EDD6A" w14:textId="77777777"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Обсяг видатків на супроводження та обслуговування комп`ютерних програм на виконання програми інформатизації</w:t>
            </w:r>
          </w:p>
        </w:tc>
        <w:tc>
          <w:tcPr>
            <w:tcW w:w="1166" w:type="dxa"/>
            <w:vAlign w:val="center"/>
          </w:tcPr>
          <w:p w14:paraId="13F0E53C" w14:textId="7136E251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855" w:type="dxa"/>
            <w:vAlign w:val="center"/>
          </w:tcPr>
          <w:p w14:paraId="1B96E473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Кошторис</w:t>
            </w:r>
          </w:p>
          <w:p w14:paraId="06C6C55B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vAlign w:val="center"/>
          </w:tcPr>
          <w:p w14:paraId="128DE2AB" w14:textId="7051F7AC" w:rsidR="00200F77" w:rsidRDefault="008375F8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32677,00</w:t>
            </w:r>
          </w:p>
        </w:tc>
        <w:tc>
          <w:tcPr>
            <w:tcW w:w="1723" w:type="dxa"/>
            <w:vAlign w:val="center"/>
          </w:tcPr>
          <w:p w14:paraId="683D6CD8" w14:textId="77777777"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14:paraId="41484135" w14:textId="77777777" w:rsidTr="00964D3B">
        <w:trPr>
          <w:trHeight w:val="548"/>
        </w:trPr>
        <w:tc>
          <w:tcPr>
            <w:tcW w:w="3225" w:type="dxa"/>
          </w:tcPr>
          <w:p w14:paraId="7B606C18" w14:textId="77777777" w:rsidR="00200F77" w:rsidRPr="00964D3B" w:rsidRDefault="00200F77" w:rsidP="00403D14">
            <w:pPr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отриманих листів, звернень, заяв, скарг</w:t>
            </w:r>
          </w:p>
        </w:tc>
        <w:tc>
          <w:tcPr>
            <w:tcW w:w="1166" w:type="dxa"/>
            <w:vAlign w:val="center"/>
          </w:tcPr>
          <w:p w14:paraId="3D1FC590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14:paraId="06EAEE12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14:paraId="7DBBEA53" w14:textId="02D3A8D3"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375F8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</w:p>
        </w:tc>
        <w:tc>
          <w:tcPr>
            <w:tcW w:w="1723" w:type="dxa"/>
            <w:vAlign w:val="center"/>
          </w:tcPr>
          <w:p w14:paraId="2D195E6D" w14:textId="77777777"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14:paraId="249BB67B" w14:textId="77777777" w:rsidTr="00964D3B">
        <w:trPr>
          <w:trHeight w:val="548"/>
        </w:trPr>
        <w:tc>
          <w:tcPr>
            <w:tcW w:w="3225" w:type="dxa"/>
          </w:tcPr>
          <w:p w14:paraId="0BFA5E48" w14:textId="77777777"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розроблених нормативно-правових актів</w:t>
            </w:r>
          </w:p>
        </w:tc>
        <w:tc>
          <w:tcPr>
            <w:tcW w:w="1166" w:type="dxa"/>
            <w:vAlign w:val="center"/>
          </w:tcPr>
          <w:p w14:paraId="1EFFA356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14:paraId="5029D00A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14:paraId="6F1EF981" w14:textId="6A011504" w:rsidR="00200F77" w:rsidRDefault="008375F8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723" w:type="dxa"/>
            <w:vAlign w:val="center"/>
          </w:tcPr>
          <w:p w14:paraId="1256BCF5" w14:textId="77777777"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00F77" w14:paraId="7DDD20DB" w14:textId="77777777" w:rsidTr="00964D3B">
        <w:trPr>
          <w:trHeight w:val="548"/>
        </w:trPr>
        <w:tc>
          <w:tcPr>
            <w:tcW w:w="3225" w:type="dxa"/>
          </w:tcPr>
          <w:p w14:paraId="3B99A8B1" w14:textId="77777777"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придбаної  комп`ютерної техніки, мережевого обладнання, оргтехніки, комплектуючих</w:t>
            </w:r>
          </w:p>
        </w:tc>
        <w:tc>
          <w:tcPr>
            <w:tcW w:w="1166" w:type="dxa"/>
            <w:vAlign w:val="center"/>
          </w:tcPr>
          <w:p w14:paraId="10E95E8D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14:paraId="63DD0F4D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14:paraId="32A0F323" w14:textId="7B586B40" w:rsidR="00200F77" w:rsidRDefault="008375F8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23" w:type="dxa"/>
            <w:vAlign w:val="center"/>
          </w:tcPr>
          <w:p w14:paraId="639C4A59" w14:textId="430DDBF5" w:rsidR="00200F77" w:rsidRDefault="008375F8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00F77" w14:paraId="5F2E5B8D" w14:textId="77777777" w:rsidTr="00964D3B">
        <w:trPr>
          <w:trHeight w:val="548"/>
        </w:trPr>
        <w:tc>
          <w:tcPr>
            <w:tcW w:w="3225" w:type="dxa"/>
          </w:tcPr>
          <w:p w14:paraId="27425A4F" w14:textId="77777777" w:rsidR="00200F77" w:rsidRPr="00964D3B" w:rsidRDefault="00200F77" w:rsidP="00403D14">
            <w:pPr>
              <w:ind w:left="-4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Кількість комп`ютерних програм, що потребують супроводження та обслуговування</w:t>
            </w:r>
          </w:p>
        </w:tc>
        <w:tc>
          <w:tcPr>
            <w:tcW w:w="1166" w:type="dxa"/>
            <w:vAlign w:val="center"/>
          </w:tcPr>
          <w:p w14:paraId="378F6024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855" w:type="dxa"/>
            <w:vAlign w:val="center"/>
          </w:tcPr>
          <w:p w14:paraId="12681DF2" w14:textId="77777777" w:rsidR="00200F77" w:rsidRPr="00964D3B" w:rsidRDefault="00200F77" w:rsidP="00964D3B">
            <w:pPr>
              <w:jc w:val="center"/>
              <w:rPr>
                <w:sz w:val="20"/>
                <w:szCs w:val="20"/>
                <w:lang w:val="uk-UA"/>
              </w:rPr>
            </w:pPr>
            <w:r w:rsidRPr="00964D3B">
              <w:rPr>
                <w:sz w:val="20"/>
                <w:szCs w:val="20"/>
                <w:lang w:val="uk-UA"/>
              </w:rPr>
              <w:t>Внутрішній облік</w:t>
            </w:r>
          </w:p>
        </w:tc>
        <w:tc>
          <w:tcPr>
            <w:tcW w:w="1705" w:type="dxa"/>
            <w:vAlign w:val="center"/>
          </w:tcPr>
          <w:p w14:paraId="3F5190B9" w14:textId="77777777"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23" w:type="dxa"/>
            <w:vAlign w:val="center"/>
          </w:tcPr>
          <w:p w14:paraId="3729F1CF" w14:textId="77777777" w:rsidR="00200F77" w:rsidRDefault="00200F77" w:rsidP="00964D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14:paraId="25263B30" w14:textId="77777777" w:rsidR="00AD50BA" w:rsidRDefault="00AD50BA" w:rsidP="00414D41">
      <w:pPr>
        <w:ind w:firstLine="709"/>
        <w:rPr>
          <w:lang w:val="uk-UA"/>
        </w:rPr>
      </w:pPr>
    </w:p>
    <w:p w14:paraId="46B973AF" w14:textId="77777777" w:rsidR="00AD50BA" w:rsidRDefault="00AD50BA" w:rsidP="00414D41">
      <w:pPr>
        <w:ind w:firstLine="709"/>
        <w:rPr>
          <w:lang w:val="uk-UA"/>
        </w:rPr>
      </w:pPr>
    </w:p>
    <w:p w14:paraId="5397D2D8" w14:textId="77777777" w:rsidR="00414D41" w:rsidRPr="0005090C" w:rsidRDefault="00414D41" w:rsidP="00F06C49">
      <w:pPr>
        <w:rPr>
          <w:lang w:val="uk-UA"/>
        </w:rPr>
      </w:pPr>
      <w:r>
        <w:rPr>
          <w:lang w:val="uk-UA"/>
        </w:rPr>
        <w:t>Начальник фінансового управління                                       Валентина П</w:t>
      </w:r>
      <w:r w:rsidR="00413CC8">
        <w:rPr>
          <w:lang w:val="uk-UA"/>
        </w:rPr>
        <w:t>ЕЧКО</w:t>
      </w:r>
    </w:p>
    <w:sectPr w:rsidR="00414D41" w:rsidRPr="0005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30DE7"/>
    <w:multiLevelType w:val="hybridMultilevel"/>
    <w:tmpl w:val="54C0B4FE"/>
    <w:lvl w:ilvl="0" w:tplc="D5AE1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E01EC9"/>
    <w:multiLevelType w:val="hybridMultilevel"/>
    <w:tmpl w:val="2C14756E"/>
    <w:lvl w:ilvl="0" w:tplc="268670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25246434">
    <w:abstractNumId w:val="0"/>
  </w:num>
  <w:num w:numId="2" w16cid:durableId="20609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36"/>
    <w:rsid w:val="0000452A"/>
    <w:rsid w:val="00004560"/>
    <w:rsid w:val="000054CD"/>
    <w:rsid w:val="00010129"/>
    <w:rsid w:val="000124C2"/>
    <w:rsid w:val="00013224"/>
    <w:rsid w:val="00024F77"/>
    <w:rsid w:val="00025AE9"/>
    <w:rsid w:val="00035840"/>
    <w:rsid w:val="00037138"/>
    <w:rsid w:val="00037799"/>
    <w:rsid w:val="00037EEA"/>
    <w:rsid w:val="0005090C"/>
    <w:rsid w:val="00050FB1"/>
    <w:rsid w:val="00082675"/>
    <w:rsid w:val="00083C70"/>
    <w:rsid w:val="000A17BE"/>
    <w:rsid w:val="000A5AED"/>
    <w:rsid w:val="000B4AD8"/>
    <w:rsid w:val="000C62A3"/>
    <w:rsid w:val="000D0B0F"/>
    <w:rsid w:val="000D530F"/>
    <w:rsid w:val="000D5D0B"/>
    <w:rsid w:val="000D60A1"/>
    <w:rsid w:val="000E7FB7"/>
    <w:rsid w:val="000F3AFF"/>
    <w:rsid w:val="00106D40"/>
    <w:rsid w:val="0011132A"/>
    <w:rsid w:val="001178B7"/>
    <w:rsid w:val="00122221"/>
    <w:rsid w:val="00133849"/>
    <w:rsid w:val="00146A5C"/>
    <w:rsid w:val="00146D42"/>
    <w:rsid w:val="00147B78"/>
    <w:rsid w:val="0015239B"/>
    <w:rsid w:val="001550D4"/>
    <w:rsid w:val="001641EA"/>
    <w:rsid w:val="0018432C"/>
    <w:rsid w:val="00195234"/>
    <w:rsid w:val="001975F9"/>
    <w:rsid w:val="001A21E8"/>
    <w:rsid w:val="001A2CA4"/>
    <w:rsid w:val="001A6EC4"/>
    <w:rsid w:val="001B35B6"/>
    <w:rsid w:val="001B7151"/>
    <w:rsid w:val="001C2458"/>
    <w:rsid w:val="001C3969"/>
    <w:rsid w:val="001C535B"/>
    <w:rsid w:val="001D407A"/>
    <w:rsid w:val="001F1A3B"/>
    <w:rsid w:val="00200F77"/>
    <w:rsid w:val="00204910"/>
    <w:rsid w:val="002052A7"/>
    <w:rsid w:val="00215890"/>
    <w:rsid w:val="00215902"/>
    <w:rsid w:val="00223F4E"/>
    <w:rsid w:val="00242949"/>
    <w:rsid w:val="002468EA"/>
    <w:rsid w:val="0025025F"/>
    <w:rsid w:val="00250408"/>
    <w:rsid w:val="002559B1"/>
    <w:rsid w:val="002660D9"/>
    <w:rsid w:val="00266B6A"/>
    <w:rsid w:val="00273760"/>
    <w:rsid w:val="00286FA8"/>
    <w:rsid w:val="00287307"/>
    <w:rsid w:val="00293B2B"/>
    <w:rsid w:val="00297614"/>
    <w:rsid w:val="002A2BAD"/>
    <w:rsid w:val="002A6191"/>
    <w:rsid w:val="002B16DF"/>
    <w:rsid w:val="002B1E7F"/>
    <w:rsid w:val="002C0195"/>
    <w:rsid w:val="002E6A09"/>
    <w:rsid w:val="002E73B1"/>
    <w:rsid w:val="002F0387"/>
    <w:rsid w:val="002F1932"/>
    <w:rsid w:val="002F40C6"/>
    <w:rsid w:val="00303D23"/>
    <w:rsid w:val="00317872"/>
    <w:rsid w:val="00332B70"/>
    <w:rsid w:val="00333111"/>
    <w:rsid w:val="00342181"/>
    <w:rsid w:val="003427B5"/>
    <w:rsid w:val="003456FD"/>
    <w:rsid w:val="00347F73"/>
    <w:rsid w:val="003507B2"/>
    <w:rsid w:val="0035708C"/>
    <w:rsid w:val="00360872"/>
    <w:rsid w:val="00362E9D"/>
    <w:rsid w:val="00376D21"/>
    <w:rsid w:val="00380683"/>
    <w:rsid w:val="003857E3"/>
    <w:rsid w:val="003B07EA"/>
    <w:rsid w:val="003B71BF"/>
    <w:rsid w:val="003B7AA8"/>
    <w:rsid w:val="003C44A6"/>
    <w:rsid w:val="003C4563"/>
    <w:rsid w:val="003D7E75"/>
    <w:rsid w:val="003F35F6"/>
    <w:rsid w:val="003F7F3D"/>
    <w:rsid w:val="00402BA9"/>
    <w:rsid w:val="004030BD"/>
    <w:rsid w:val="00403D14"/>
    <w:rsid w:val="00413CC8"/>
    <w:rsid w:val="00414D41"/>
    <w:rsid w:val="00420486"/>
    <w:rsid w:val="00431C7B"/>
    <w:rsid w:val="00432D09"/>
    <w:rsid w:val="00437C94"/>
    <w:rsid w:val="00443E93"/>
    <w:rsid w:val="00444306"/>
    <w:rsid w:val="0044604B"/>
    <w:rsid w:val="00446420"/>
    <w:rsid w:val="0044730B"/>
    <w:rsid w:val="004529BB"/>
    <w:rsid w:val="00472B5F"/>
    <w:rsid w:val="0047338C"/>
    <w:rsid w:val="004774C0"/>
    <w:rsid w:val="00480DAD"/>
    <w:rsid w:val="00495B80"/>
    <w:rsid w:val="00495D3F"/>
    <w:rsid w:val="004A0E5C"/>
    <w:rsid w:val="004A13A8"/>
    <w:rsid w:val="004A16F2"/>
    <w:rsid w:val="004A39D9"/>
    <w:rsid w:val="004B05A2"/>
    <w:rsid w:val="004B5CD3"/>
    <w:rsid w:val="004B5DC3"/>
    <w:rsid w:val="004C14B1"/>
    <w:rsid w:val="004C1834"/>
    <w:rsid w:val="004C772D"/>
    <w:rsid w:val="004D187B"/>
    <w:rsid w:val="004D5F11"/>
    <w:rsid w:val="004E57FA"/>
    <w:rsid w:val="004F573B"/>
    <w:rsid w:val="00505BA6"/>
    <w:rsid w:val="005146B1"/>
    <w:rsid w:val="005210FF"/>
    <w:rsid w:val="0053194C"/>
    <w:rsid w:val="00533C27"/>
    <w:rsid w:val="00537006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8642E"/>
    <w:rsid w:val="005905CF"/>
    <w:rsid w:val="00590710"/>
    <w:rsid w:val="00591338"/>
    <w:rsid w:val="00593317"/>
    <w:rsid w:val="00593CCA"/>
    <w:rsid w:val="005952E7"/>
    <w:rsid w:val="0059723F"/>
    <w:rsid w:val="005976E0"/>
    <w:rsid w:val="005A1AAB"/>
    <w:rsid w:val="005A5053"/>
    <w:rsid w:val="005B1724"/>
    <w:rsid w:val="005B1956"/>
    <w:rsid w:val="005B68FF"/>
    <w:rsid w:val="005E4B5E"/>
    <w:rsid w:val="005E5358"/>
    <w:rsid w:val="005F12E1"/>
    <w:rsid w:val="005F19D5"/>
    <w:rsid w:val="005F5964"/>
    <w:rsid w:val="005F6271"/>
    <w:rsid w:val="005F77C1"/>
    <w:rsid w:val="005F781E"/>
    <w:rsid w:val="00602B46"/>
    <w:rsid w:val="00604994"/>
    <w:rsid w:val="006203D1"/>
    <w:rsid w:val="00622FBC"/>
    <w:rsid w:val="0063617A"/>
    <w:rsid w:val="00640EC4"/>
    <w:rsid w:val="0065642B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B50E5"/>
    <w:rsid w:val="006C6109"/>
    <w:rsid w:val="006C75B5"/>
    <w:rsid w:val="006D729A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35F4E"/>
    <w:rsid w:val="00743D9E"/>
    <w:rsid w:val="00746F7E"/>
    <w:rsid w:val="00747A7B"/>
    <w:rsid w:val="00755879"/>
    <w:rsid w:val="007638CB"/>
    <w:rsid w:val="00770E36"/>
    <w:rsid w:val="00775859"/>
    <w:rsid w:val="00775976"/>
    <w:rsid w:val="0077731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028DA"/>
    <w:rsid w:val="00807443"/>
    <w:rsid w:val="00810838"/>
    <w:rsid w:val="00824DA7"/>
    <w:rsid w:val="008273CA"/>
    <w:rsid w:val="008306C8"/>
    <w:rsid w:val="00836EC9"/>
    <w:rsid w:val="008375F8"/>
    <w:rsid w:val="00862852"/>
    <w:rsid w:val="008639FE"/>
    <w:rsid w:val="0086666F"/>
    <w:rsid w:val="00867765"/>
    <w:rsid w:val="00874135"/>
    <w:rsid w:val="008742D9"/>
    <w:rsid w:val="008750D7"/>
    <w:rsid w:val="008751BF"/>
    <w:rsid w:val="00875577"/>
    <w:rsid w:val="00876280"/>
    <w:rsid w:val="00877C53"/>
    <w:rsid w:val="0088114E"/>
    <w:rsid w:val="0088730C"/>
    <w:rsid w:val="008930CA"/>
    <w:rsid w:val="008A4106"/>
    <w:rsid w:val="008A6EFE"/>
    <w:rsid w:val="008B3561"/>
    <w:rsid w:val="008B4871"/>
    <w:rsid w:val="008B5718"/>
    <w:rsid w:val="008B5E5C"/>
    <w:rsid w:val="008B63C6"/>
    <w:rsid w:val="008C0BD8"/>
    <w:rsid w:val="008C4071"/>
    <w:rsid w:val="008C7C84"/>
    <w:rsid w:val="008E264E"/>
    <w:rsid w:val="008E4461"/>
    <w:rsid w:val="008E5EE4"/>
    <w:rsid w:val="008F57A4"/>
    <w:rsid w:val="008F6C9F"/>
    <w:rsid w:val="00903268"/>
    <w:rsid w:val="00911AB5"/>
    <w:rsid w:val="0091643A"/>
    <w:rsid w:val="009213E0"/>
    <w:rsid w:val="009218DC"/>
    <w:rsid w:val="0092510E"/>
    <w:rsid w:val="009320E1"/>
    <w:rsid w:val="00944B1F"/>
    <w:rsid w:val="00951855"/>
    <w:rsid w:val="00962172"/>
    <w:rsid w:val="0096360F"/>
    <w:rsid w:val="00964D3B"/>
    <w:rsid w:val="00966328"/>
    <w:rsid w:val="00972B5C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1A4B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67022"/>
    <w:rsid w:val="00A74B54"/>
    <w:rsid w:val="00A77BB8"/>
    <w:rsid w:val="00A816B9"/>
    <w:rsid w:val="00AA1B56"/>
    <w:rsid w:val="00AA56F3"/>
    <w:rsid w:val="00AA6969"/>
    <w:rsid w:val="00AA6F71"/>
    <w:rsid w:val="00AB1D00"/>
    <w:rsid w:val="00AC611F"/>
    <w:rsid w:val="00AC63D4"/>
    <w:rsid w:val="00AD50BA"/>
    <w:rsid w:val="00AE10C2"/>
    <w:rsid w:val="00AE32AE"/>
    <w:rsid w:val="00AE45EF"/>
    <w:rsid w:val="00AE53DE"/>
    <w:rsid w:val="00AE6E57"/>
    <w:rsid w:val="00AF25F5"/>
    <w:rsid w:val="00B02F69"/>
    <w:rsid w:val="00B04CD1"/>
    <w:rsid w:val="00B1779B"/>
    <w:rsid w:val="00B22FC0"/>
    <w:rsid w:val="00B261FD"/>
    <w:rsid w:val="00B30D84"/>
    <w:rsid w:val="00B3577D"/>
    <w:rsid w:val="00B3676C"/>
    <w:rsid w:val="00B4074C"/>
    <w:rsid w:val="00B451D7"/>
    <w:rsid w:val="00B47FF7"/>
    <w:rsid w:val="00B51FD4"/>
    <w:rsid w:val="00B52435"/>
    <w:rsid w:val="00B5261A"/>
    <w:rsid w:val="00B606E9"/>
    <w:rsid w:val="00B666AF"/>
    <w:rsid w:val="00B72A90"/>
    <w:rsid w:val="00B8030B"/>
    <w:rsid w:val="00B963A0"/>
    <w:rsid w:val="00BA3DE7"/>
    <w:rsid w:val="00BA5468"/>
    <w:rsid w:val="00BC4F03"/>
    <w:rsid w:val="00BE1470"/>
    <w:rsid w:val="00C05E31"/>
    <w:rsid w:val="00C05F7F"/>
    <w:rsid w:val="00C433A3"/>
    <w:rsid w:val="00C444B8"/>
    <w:rsid w:val="00C51AEE"/>
    <w:rsid w:val="00C530A9"/>
    <w:rsid w:val="00C5352A"/>
    <w:rsid w:val="00C877A8"/>
    <w:rsid w:val="00C97854"/>
    <w:rsid w:val="00CA1731"/>
    <w:rsid w:val="00CB61E7"/>
    <w:rsid w:val="00CC07DA"/>
    <w:rsid w:val="00CC0F87"/>
    <w:rsid w:val="00CC2E3C"/>
    <w:rsid w:val="00CC6720"/>
    <w:rsid w:val="00CC6901"/>
    <w:rsid w:val="00CC75CA"/>
    <w:rsid w:val="00CD4CC4"/>
    <w:rsid w:val="00CE354B"/>
    <w:rsid w:val="00CE4656"/>
    <w:rsid w:val="00CE568F"/>
    <w:rsid w:val="00D04213"/>
    <w:rsid w:val="00D066EF"/>
    <w:rsid w:val="00D07EA6"/>
    <w:rsid w:val="00D11D44"/>
    <w:rsid w:val="00D1211A"/>
    <w:rsid w:val="00D2744A"/>
    <w:rsid w:val="00D30A31"/>
    <w:rsid w:val="00D32344"/>
    <w:rsid w:val="00D355F1"/>
    <w:rsid w:val="00D44D5C"/>
    <w:rsid w:val="00D465F9"/>
    <w:rsid w:val="00D5106D"/>
    <w:rsid w:val="00D579FD"/>
    <w:rsid w:val="00D57D44"/>
    <w:rsid w:val="00D604D4"/>
    <w:rsid w:val="00D60A3E"/>
    <w:rsid w:val="00D7076A"/>
    <w:rsid w:val="00D716DC"/>
    <w:rsid w:val="00D77822"/>
    <w:rsid w:val="00D805B3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28A5"/>
    <w:rsid w:val="00DD6EDB"/>
    <w:rsid w:val="00DE46A4"/>
    <w:rsid w:val="00DE6826"/>
    <w:rsid w:val="00DE69A6"/>
    <w:rsid w:val="00DF412C"/>
    <w:rsid w:val="00E02B80"/>
    <w:rsid w:val="00E03889"/>
    <w:rsid w:val="00E04696"/>
    <w:rsid w:val="00E15EDD"/>
    <w:rsid w:val="00E166A4"/>
    <w:rsid w:val="00E3579F"/>
    <w:rsid w:val="00E40B1D"/>
    <w:rsid w:val="00E56869"/>
    <w:rsid w:val="00E6378E"/>
    <w:rsid w:val="00E7195A"/>
    <w:rsid w:val="00E747A7"/>
    <w:rsid w:val="00E760E9"/>
    <w:rsid w:val="00E8754D"/>
    <w:rsid w:val="00E87BFB"/>
    <w:rsid w:val="00EA060F"/>
    <w:rsid w:val="00EA2638"/>
    <w:rsid w:val="00EA2A10"/>
    <w:rsid w:val="00EA2FC2"/>
    <w:rsid w:val="00EA4C6E"/>
    <w:rsid w:val="00EC09C0"/>
    <w:rsid w:val="00EC172E"/>
    <w:rsid w:val="00EC26C9"/>
    <w:rsid w:val="00EC4E9B"/>
    <w:rsid w:val="00EC76B4"/>
    <w:rsid w:val="00EC7E75"/>
    <w:rsid w:val="00ED1E9C"/>
    <w:rsid w:val="00EE59C1"/>
    <w:rsid w:val="00EE7FE7"/>
    <w:rsid w:val="00EF6B4C"/>
    <w:rsid w:val="00F036CA"/>
    <w:rsid w:val="00F039B6"/>
    <w:rsid w:val="00F06C49"/>
    <w:rsid w:val="00F071B6"/>
    <w:rsid w:val="00F07A41"/>
    <w:rsid w:val="00F07C82"/>
    <w:rsid w:val="00F11F65"/>
    <w:rsid w:val="00F14136"/>
    <w:rsid w:val="00F160F2"/>
    <w:rsid w:val="00F219B4"/>
    <w:rsid w:val="00F25824"/>
    <w:rsid w:val="00F3026A"/>
    <w:rsid w:val="00F31BBB"/>
    <w:rsid w:val="00F42DF4"/>
    <w:rsid w:val="00F44EC6"/>
    <w:rsid w:val="00F503E4"/>
    <w:rsid w:val="00F54026"/>
    <w:rsid w:val="00F579E7"/>
    <w:rsid w:val="00F60E30"/>
    <w:rsid w:val="00F61BBB"/>
    <w:rsid w:val="00F63F75"/>
    <w:rsid w:val="00F66297"/>
    <w:rsid w:val="00F6741D"/>
    <w:rsid w:val="00F720B8"/>
    <w:rsid w:val="00F7450F"/>
    <w:rsid w:val="00F802EA"/>
    <w:rsid w:val="00F80431"/>
    <w:rsid w:val="00F82CCD"/>
    <w:rsid w:val="00F836AD"/>
    <w:rsid w:val="00F857FF"/>
    <w:rsid w:val="00F945FD"/>
    <w:rsid w:val="00FA1164"/>
    <w:rsid w:val="00FA19EE"/>
    <w:rsid w:val="00FA314A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63F9"/>
  <w15:docId w15:val="{4C55FDE1-F677-4240-BC3E-2C955CC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B3"/>
    <w:pPr>
      <w:ind w:left="720"/>
      <w:contextualSpacing/>
    </w:pPr>
  </w:style>
  <w:style w:type="character" w:styleId="a4">
    <w:name w:val="Hyperlink"/>
    <w:basedOn w:val="a0"/>
    <w:rsid w:val="00B66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A9BF-9D82-4A05-983C-EDEE7A22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4761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</cp:lastModifiedBy>
  <cp:revision>10</cp:revision>
  <cp:lastPrinted>2025-03-10T14:43:00Z</cp:lastPrinted>
  <dcterms:created xsi:type="dcterms:W3CDTF">2026-03-10T08:43:00Z</dcterms:created>
  <dcterms:modified xsi:type="dcterms:W3CDTF">2026-03-17T12:37:00Z</dcterms:modified>
</cp:coreProperties>
</file>